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>МІНІСТЕРСТВО ОСВІТИ І НАУКИ УКРАЇНИ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>Львівський національний університет імені Івана Франка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>Факультет філософський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>Кафедра теорії та історії культури</w:t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 xml:space="preserve">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>Затверджено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uk-UA"/>
        </w:rPr>
        <w:t>На засіданні кафедри теорії та історії культури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cs="Times New Roman" w:ascii="Times New Roman" w:hAnsi="Times New Roman"/>
          <w:sz w:val="24"/>
          <w:szCs w:val="24"/>
          <w:lang w:eastAsia="uk-UA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uk-UA"/>
        </w:rPr>
        <w:t xml:space="preserve">філософського факультету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cs="Times New Roman" w:ascii="Times New Roman" w:hAnsi="Times New Roman"/>
          <w:sz w:val="24"/>
          <w:szCs w:val="24"/>
          <w:lang w:eastAsia="uk-UA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uk-UA"/>
        </w:rPr>
        <w:t xml:space="preserve">Львівського національного університету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cs="Times New Roman" w:ascii="Times New Roman" w:hAnsi="Times New Roman"/>
          <w:sz w:val="24"/>
          <w:szCs w:val="24"/>
          <w:lang w:eastAsia="uk-UA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  <w:lang w:eastAsia="uk-UA"/>
        </w:rPr>
        <w:t>імені Івана Франка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cs="Times New Roman" w:ascii="Times New Roman" w:hAnsi="Times New Roman"/>
          <w:sz w:val="24"/>
          <w:szCs w:val="24"/>
          <w:lang w:eastAsia="uk-UA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uk-UA"/>
        </w:rPr>
        <w:t>(протокол № 1 від 26 серпня 2022 р.)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 xml:space="preserve">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>Завідувач кафедри _________________ проф. Альчук М.П.</w:t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>Силабус з навчальної дисципліни «Феноменологія релігії»,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>що викладається в межах ОПП рівня вищої освіти магістра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>зі спеціальності 034 – культурологія</w:t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</w:r>
    </w:p>
    <w:p>
      <w:pPr>
        <w:pStyle w:val="Normal"/>
        <w:spacing w:lineRule="auto" w:line="240" w:before="240" w:after="240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</w:r>
      <w:r>
        <w:br w:type="page"/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uk-UA"/>
        </w:rPr>
        <w:t>Львів 2022 р.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СИЛАБУС КУРСУ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Буддизм: культурний та релігійний виміри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2022-2023 навчальний рік</w:t>
      </w:r>
    </w:p>
    <w:tbl>
      <w:tblPr>
        <w:tblW w:w="14670" w:type="dxa"/>
        <w:jc w:val="left"/>
        <w:tblInd w:w="-98" w:type="dxa"/>
        <w:tblCellMar>
          <w:top w:w="100" w:type="dxa"/>
          <w:left w:w="120" w:type="dxa"/>
          <w:bottom w:w="100" w:type="dxa"/>
          <w:right w:w="120" w:type="dxa"/>
        </w:tblCellMar>
        <w:tblLook w:val="0000"/>
      </w:tblPr>
      <w:tblGrid>
        <w:gridCol w:w="3404"/>
        <w:gridCol w:w="11265"/>
      </w:tblGrid>
      <w:tr>
        <w:trPr>
          <w:trHeight w:val="672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Феноменологія релігії</w:t>
            </w:r>
          </w:p>
        </w:tc>
      </w:tr>
      <w:tr>
        <w:trPr>
          <w:trHeight w:val="502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>
        <w:trPr>
          <w:trHeight w:val="502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Філософський факультет, кафедра теорії та історії культури  </w:t>
            </w:r>
          </w:p>
        </w:tc>
      </w:tr>
      <w:tr>
        <w:trPr>
          <w:trHeight w:val="802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галузь знань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03 гуманітарні науки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спеціальність 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034 культурологія</w:t>
            </w:r>
          </w:p>
        </w:tc>
      </w:tr>
      <w:tr>
        <w:trPr>
          <w:trHeight w:val="340" w:hRule="atLeast"/>
        </w:trPr>
        <w:tc>
          <w:tcPr>
            <w:tcW w:w="3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Колесник Ігор Миколайович, кандидат філософських наук, доцент кафедри теорії та історії культури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ihor</w:t>
            </w:r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kolesnyk</w:t>
            </w:r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lnu</w:t>
            </w:r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edu</w:t>
            </w:r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  <w:t>ua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(032)-239-42-10 (кафедра теорії та історії культури)</w:t>
            </w:r>
          </w:p>
        </w:tc>
      </w:tr>
      <w:tr>
        <w:trPr>
          <w:trHeight w:val="480" w:hRule="atLeast"/>
        </w:trPr>
        <w:tc>
          <w:tcPr>
            <w:tcW w:w="3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кафедра теорії та історії культури, вул. Університетська, 1, ауд. 357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>
        <w:trPr>
          <w:trHeight w:val="1280" w:hRule="atLeast"/>
        </w:trPr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Феноменологія релігії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 є дисципліною вільного вибору і складена відповідно до освітньо-професійної програми підготовки магістра спеціальності 034 «Культурологія». Вона містить лекційний курс, семінарські заняття і самостійну роботу студентів. 3 кредити, 90 год. Для вивчення дисципліни передбачено два змістових модулі. Діагностують студентів поточним (впродовж семестру) і підсумковим (залік) контролем і оцінюють у 100 балів (за Європейською Кредитно-Трансферною Системою ECTS).</w:t>
            </w:r>
          </w:p>
        </w:tc>
      </w:tr>
      <w:tr>
        <w:trPr>
          <w:trHeight w:val="1280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uk-UA"/>
              </w:rPr>
              <w:t>Феноменологія релігії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 має статус спецкурсу в межах традиційних програм з релігієзнавства, теорії та історії культури. Новизна курсу полягає у розкритті специфіки релігійного досвіду та його дослідження у межах академічного підходу. У межах курсу ми досліджуємо історичну ґенезу методології феноменології релігії і ключових дослідників. </w:t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Актуальність курсу пов’язана із практичною відсутністю в українській гуманітаристиці масштабного осмислення історії досліджень релігії саме у контексті феноменології, а також структурованих спроб простежити еволюцію ідей щодо співвідношення науки, релігії та філософії.  У контексті кризи, яка супроводжує релігієзнавчі науки, аналіз проблематики курсу дає можливість побачити основні виклики для науковців. </w:t>
            </w:r>
          </w:p>
        </w:tc>
      </w:tr>
      <w:tr>
        <w:trPr>
          <w:trHeight w:val="1029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 та завдання навчальної дисципліни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Метою курсу є ознайомлення студентів із історією та методологічними засадами феноменології релігії як галузі релігієзнавчої науки.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Відповідно до мети, передбачається виконання наступних завдань: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окреслити засади феноменології Едмунда Гусерля та вплив ідей на інших мислителів;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розглянути історію феноменології релігії крізь призму окремих шкіл та дослідників;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проаналізувати основні риси феноменології релігії та її перспективи;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виявити основні проблеми методологічного характеру, із якими має справу сучасна феноменологія.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57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Вебер М. Протестантська етика і дух капіталізму. - Київ, Наш формат, 2018. - 216 с.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Гусерль Е. Досвід і судження. Дослідження генеалогії логіки /Пер. з нім. В. Кебуладзе. Київ: ППС-2002, 2009. - 356 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Гусерль Е. Ідеї чистої феноменології і феноменологічної філософії. - Фоліо, 2021. - 348 с.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Гуссерль Е. Криза європейських наук і трансцендентальна феноменологія / Філософська думка, 2002, №3. - С.134-149.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Дзюба, О.В. (2009) ‘Категорія “священне” Р.Отто в контексті методологічних аспектів релігієзнавчої теорії’. Available at: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http://dspace.nbuv.gov.ua/xmlui/handle/123456789/77287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Добко, Т. (2012) ‘Про природу релігійного досвіду і пізнання: феноменологічне дослідження’. Available at: https://er.ucu.edu.ua/handle/1/318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Еліаде М. Священне і мирське. Міфи, сновидіння і містерії. Мефістофель і андрогін. Окультизм, ворожбитство та культурні уподобання (пер. Г. Кьорян, В. Сахна). — К.: Основи, 2001. — 592 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Еліаде М. Трактат з історії релігій / Пер. з фр. Олексія Панича. — К.: Дух і Літера, 2016. — 520 с.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Мірча Е. Пошуки. Історія та смисл в релігії років. / Мірча Еліаде ; перекл. з англ. Анни Марії Басаурі Зюзіної. – Київ : Дух і Літера, 2019. – 256 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Рудольф Отто - Ідея Святого. (2020) Рудольф Отто - Ідея Святого. Available at: https://delphipages.live/uk/різне/the-idea-of-the-holy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Сарапін, О. (2009) ‘Феноменологія релігії в її суперечливому баченні’. Available at: http://dspace.nbuv.gov.ua/xmlui/handle/123456789/43975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Феноменология религии: между сакральным и профанным. Материалы Международной зимней религиоведческой школы / Научн. ред. A.B. Белокобыльский, О.С. Киселев. - Донецк: Донбасс, ДООО «Центр Дискавери», Центр религиоведческих исследований ГУИиИИ, 2011. - 171 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Фюрст М., Трінкс Ю. Філософія. - Київ, Дух і літера, 2018. - 544 с.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Халіков, Р.Х. (2011) ‘Специфіка застосування феноменологічного підходу під час дослідження раціонального в релігії’. Available at: http://dspace.nbuv.gov.ua/xmlui/handle/123456789/86749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Хромец В.Л. К проблеме феноменологического подхода в религиоведении / Виталий Леонидович Хромец // Феноменология религии: между сакральным и профанным : материалы международной зимней религиоведческой школы / [науч. ред. : А.В. Белокобыльский, О.С. Киселев]. – Донецк : Донбасс, 2011. – С. 20-30.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Шелер, Макс // Філософський енциклопедичний словник / В. І. Шинкарук (гол. редкол.) та ін. — Київ : Інститут філософії імені Григорія Сковороди НАН України : Абрис, 2002. — С. 719. — 742 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Юнг К.Г. Архетипи і колективне несвідоме. - Львів, Астролябія, 2018. - 608 с.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Blum, J.N. (2012) ‘Retrieving Phenomenology of Religion as a Method for Religious Studies’, Journal of the American Academy of Religion, 80(4), pp. 1025–1048. Available at: https://doi.org/10.1093/jaarel/lfs080.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Cave, J.D. and Cave, D. (1992) Mircea Eliade’s Vision for a New Humanism. New York: Oxford University Press.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Cox, J. (2006) A Guide to the Phenomenology of Religion: Key Figures, Formative Influences and Subsequent Debates. 1st edition. London ; New York: Continuum.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Ekeke, E. and Ekeopara, C. (2010) ‘Phenomenological Approach to the Study of Religion: A Historical Perspective’, European Journal of Scientific Research, Volume 44, pp. 266–274.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Flood, G. (1999) Beyond Phenomenology: Rethinking the Study of Religion. London ; New York: Continuum.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Hinnells, J. (ed.) (2009) The Routledge Companion to the Study of Religion. 2nd edition. London ; New York: Routledge.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King, R. (ed.) (2017) Religion, Theory, Critique: Classic and Contemporary Approaches and Methodologies. New York: Columbia University Press.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Kristensen, F. (1891) The Meaning of Religion: Lectures in the Phenomenology of Religion. 1960th edition. Springer.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Leeuw, G.V. der (2014) Religion in Essence and Manifestation. Translated by N. Smart and J.E. Turner. Princeton University Press.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Marchitelli, R. (2010) ‘Francisco Varela’s view on phenomenology in his cognitive interpretation’, Dialogues in Philosophy, Mental and Neuro Sciences, 3, pp. 42–44.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Momen, M. (2009) Understanding religion : a thematic approach. Oxford, England : Oneworld. Available at: http://archive.org/details/understandingrel0000mome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Moser, P.K. and Meister, C. (eds) (2020) The Cambridge Companion to Religious Experience. Cambridge University Press.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Newberg, P.D.A. (2012) The Spiritual Brain: Science and Religious Experience. Chantilly, VA: Great Courses Teaching Company.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Routledge Encyclopedia of Philosophy 10V (no date) Routledge &amp; CRC Press. Available at: https://www.routledge.com/Routledge-Encyclopedia-of-Philosophy-10V/Craig/p/book/9780415073103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Sharma, A. and Waardenburg, J. (2015) To the Things Themselves: Essays on the Discourse and Practice of the Phenomenology of Religion. 1st edition. De Gruyter.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Smart, N. (1988) ‘Religious Experience’, Journal of Philosophy, 85(3), pp. 151–154. Available at: https://doi.org/10.2307/2027069.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Stausberg, M. (ed.) (2009) Contemporary Theories of Religion: A Critical Companion. 1st edition. Routledge.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Stausberg, M. and Engler, S. (eds) (2017) The Oxford Handbook of the Study of Religion. 1st edition. Oxford: Oxford University Press.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Strenski, I. (2015) Understanding Theories of Religion: An Introduction. 2nd edition. Wiley-Blackwell.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Varela, F. (1996) ‘Neurophenomenology: A Methodological Remedy for the Hard Problem’, Journal of Consciousness Studies, 3(4), pp. 330–49.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Varela, F.J. and Shear, J. (eds) (1999) View from Within: First-person Approaches to the Study of Consciousness. Illustrated edition. Thorverton, UK ; Bowling Green, OH: Imprint Academic.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Wynn, M. (2021) ‘Phenomenology of Religion’, in E.N. Zalta (ed.) The Stanford Encyclopedia of Philosophy. Winter 2021. Metaphysics Research Lab, Stanford University. Available at: https://plato.stanford.edu/archives/win2021/entries/phenomenology-religion/ </w:t>
            </w:r>
          </w:p>
        </w:tc>
      </w:tr>
      <w:tr>
        <w:trPr>
          <w:trHeight w:val="1280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кредити, 90 год.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  аудиторних години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 них: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годин лекцій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годин  практичних занять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>
        <w:trPr>
          <w:trHeight w:val="456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Після завершення курсу студент повинен: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ЗНАТИ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Засади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феноменології як філософської науки,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Основних мислителів, які ґрунтуються на феноменологічній методології,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Особливості формування феноменології релігії,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Осередки релігієзнавства та феноменологів релігії,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Актуальну проблематику феноменології релігії та її перспективи.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УМІТИ: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>Орієнтуватися в ключових методах феноменології Е.Гусерля;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>Застосовувати феноменологічні методи до релігійних феноменів;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>Відтворювати ґенезу феноменології релігії у регіональному розрізі;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>Виокремити основні контексти феноменології релігії: особистий, соціальний, культурний тощо;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•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  <w:t xml:space="preserve">Опанувати категоріальний апарат феноменології релігії.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Після вивчення дисципліни здобувачі набудуть таких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компетентностей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Здатність до абстрактного мислення, аналізу та синтезу.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Здатність приймати обґрунтовані рішення.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Здатність до оцінювання та аналізу інформації у процесі реалізації професійної діяльності.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Усвідомлення соціальної та етичної місії культуролога, а також можливостей та особливостей практичного використання культурологічного знання.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Здатність до ефективної взаємодії з представниками інших професій, а також до залучення до розв’язання проблем культури представників громадськості.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Аналізувати культурні права та свободи людини, форми та механізми їхньої ідентифікації, інкультурації, культурної адаптації з врахуванням регіональної специфіки.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Приймати ефективні рішення щодо розв’язання складних задач і практичних проблем культурного розвитку суспільства.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31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Феноменологія, феноменологія релігії, релігієзнавство </w:t>
            </w:r>
          </w:p>
        </w:tc>
      </w:tr>
      <w:tr>
        <w:trPr>
          <w:trHeight w:val="589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Онлайн/очний</w:t>
            </w:r>
          </w:p>
        </w:tc>
      </w:tr>
      <w:tr>
        <w:trPr>
          <w:trHeight w:val="555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Схема курсу додана в кінці силабусу у вигляді таблиці.</w:t>
            </w:r>
          </w:p>
        </w:tc>
      </w:tr>
      <w:tr>
        <w:trPr>
          <w:trHeight w:val="736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Залік</w:t>
            </w:r>
          </w:p>
        </w:tc>
      </w:tr>
      <w:tr>
        <w:trPr>
          <w:trHeight w:val="658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Пререквізити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основ культурології, міфології, релігієзнавства, філософії культури, етики, прикладної етики, соціальної культурології. </w:t>
            </w:r>
          </w:p>
        </w:tc>
      </w:tr>
      <w:tr>
        <w:trPr>
          <w:trHeight w:val="1999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Проблемно-пошукові.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Техніки опрацювання дискусійних питань.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проєктів і їх презентацій.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 усного опитування.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Проблемний аналіз культурних артефактів.</w:t>
            </w:r>
          </w:p>
        </w:tc>
      </w:tr>
      <w:tr>
        <w:trPr>
          <w:trHeight w:val="519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Проектор, роздаткові матеріали, підключення до мережі інтернет.</w:t>
            </w:r>
          </w:p>
        </w:tc>
      </w:tr>
      <w:tr>
        <w:trPr>
          <w:trHeight w:val="1280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1"/>
              <w:ind w:left="10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Оцінювання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проводиться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100-бальною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шкалою.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нараховуються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наступним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співвідношенням:</w:t>
            </w:r>
          </w:p>
          <w:p>
            <w:pPr>
              <w:pStyle w:val="TableParagraph"/>
              <w:ind w:left="10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балів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вираховується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опрацьованих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завдань.</w:t>
            </w:r>
          </w:p>
          <w:p>
            <w:pPr>
              <w:pStyle w:val="TableParagraph"/>
              <w:ind w:left="105" w:right="9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максимальна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кількість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- 100,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складається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поточного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опитування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протягом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семестру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 балів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іспиті (усне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опитування)</w:t>
            </w:r>
          </w:p>
          <w:p>
            <w:pPr>
              <w:pStyle w:val="TableParagraph"/>
              <w:ind w:left="105" w:right="95" w:hanging="0"/>
              <w:jc w:val="both"/>
              <w:rPr>
                <w:spacing w:val="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Письмові роботи: </w:t>
            </w:r>
            <w:r>
              <w:rPr>
                <w:sz w:val="24"/>
                <w:szCs w:val="24"/>
              </w:rPr>
              <w:t>Очікується, що здобувачі виконають декілька видів письмових робіт (есе, вирішення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кейсу).</w:t>
            </w:r>
            <w:r>
              <w:rPr>
                <w:spacing w:val="1"/>
                <w:sz w:val="24"/>
                <w:szCs w:val="24"/>
              </w:rPr>
              <w:t xml:space="preserve"> Кожна із письмових робіт є необхідним завданням, яке враховується при розрахуванні сукупного балу за поточний семестр. Оцінювання відбувається за критеріями: повнота здійсненої роботи, якість проведеного дослідження, відповідність чинному законодавству, унікальність. </w:t>
            </w:r>
          </w:p>
          <w:p>
            <w:pPr>
              <w:pStyle w:val="TableParagraph"/>
              <w:ind w:left="105" w:right="95" w:hanging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Академічна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доброчесність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Очікується,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їх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оригінальними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дослідженнями чи міркуваннями. Відсутність посилань на використані джерела, фабрикування джерел,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списування,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втручання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інших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студентів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становлять,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обмежують,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приклади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можливої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академічної недоброчесності. Виявлення ознак академічної недоброчесності в письмовій роботі студента 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підставою для її незарахуванння викладачем, незалежно від масштабів плагіату чи обману. </w:t>
            </w:r>
          </w:p>
          <w:p>
            <w:pPr>
              <w:pStyle w:val="TableParagraph"/>
              <w:ind w:left="105" w:right="95" w:hanging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Література. </w:t>
            </w:r>
            <w:r>
              <w:rPr>
                <w:sz w:val="24"/>
                <w:szCs w:val="24"/>
              </w:rPr>
              <w:t>Уся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література, яку студенти не зможуть знайти самостійно, буде надана викладачем виключно в освітніх цілях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 права її передачі третім особам. Студенти заохочуються до використання також й іншої літератури 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джерел,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немає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серед рекомендованих.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Жодні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порушення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академічної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доброчесності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не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толеруються.</w:t>
            </w:r>
          </w:p>
        </w:tc>
      </w:tr>
      <w:tr>
        <w:trPr>
          <w:trHeight w:val="1280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Джерела феноменології у історії філософії.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Феноменологія Е.Гусерля.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Феноменологія релігії у контексті релігієзнавства.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Засади феноменології релігії та основні перспективи.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Теологія, феноменологія релігії, філософія релігії.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Пошуки культурних і соціальних типів: Трьольч, Вебер, Юнг.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Нідерландська школа феноменології релігії.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Британська школа феноменології релігії.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Американська феноменологія релігії.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Чиказька школа.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Постать Мірчи Еліаде і його основні ідеї.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Рудольф Отто «Священне».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Критика феноменології релігії у контексті кризи релігієзнавства.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Нейрофеноменологія.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Трансперсональна психологія.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Феноменологія релігії на роздоріжжі методологій. 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Схема курсу на 1 семестр</w:t>
      </w:r>
    </w:p>
    <w:tbl>
      <w:tblPr>
        <w:tblW w:w="14739" w:type="dxa"/>
        <w:jc w:val="left"/>
        <w:tblInd w:w="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17"/>
        <w:gridCol w:w="3402"/>
        <w:gridCol w:w="1418"/>
        <w:gridCol w:w="3971"/>
        <w:gridCol w:w="2575"/>
        <w:gridCol w:w="1955"/>
      </w:tblGrid>
      <w:tr>
        <w:trPr>
          <w:trHeight w:val="168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Тиж.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дата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год.-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Тема,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план,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короткі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тези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Форма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діяльності</w:t>
            </w:r>
            <w:r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(заняття)*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*лекція,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самостійна,</w:t>
            </w:r>
            <w:r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дискусія,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Література.***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Ресурси</w:t>
            </w:r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в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інтернеті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Завдання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Завдання</w:t>
              <w:tab/>
            </w:r>
            <w:r>
              <w:rPr>
                <w:spacing w:val="-2"/>
                <w:sz w:val="24"/>
                <w:szCs w:val="24"/>
                <w:lang w:val="en-US"/>
              </w:rPr>
              <w:t>для</w:t>
            </w:r>
            <w:r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самостійного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опрацювання *</w:t>
            </w:r>
          </w:p>
        </w:tc>
      </w:tr>
      <w:tr>
        <w:trPr>
          <w:trHeight w:val="564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Вступ у феноменологію релігії. Місце у релігієзнавчій науці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0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Релігієзнавство і феноменологія релігії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Халіков, Р.Х. (2011) ‘Специфіка застосування феноменологічного підходу під час дослідження раціонального в релігії’. </w:t>
            </w:r>
            <w:r>
              <w:rPr>
                <w:color w:val="000000"/>
                <w:sz w:val="24"/>
                <w:szCs w:val="24"/>
                <w:lang w:val="en-US"/>
              </w:rPr>
              <w:t>Available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color w:val="000000"/>
                <w:sz w:val="24"/>
                <w:szCs w:val="24"/>
                <w:lang w:val="ru-RU"/>
              </w:rPr>
              <w:t>:</w:t>
            </w:r>
            <w:hyperlink r:id="rId3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ru-RU"/>
                </w:rPr>
                <w:t xml:space="preserve"> </w:t>
              </w:r>
              <w:r>
                <w:rPr>
                  <w:rStyle w:val="Style14"/>
                  <w:color w:val="1155CC"/>
                  <w:sz w:val="24"/>
                  <w:szCs w:val="24"/>
                  <w:lang w:val="en-US"/>
                </w:rPr>
                <w:t>http</w:t>
              </w:r>
              <w:r>
                <w:rPr>
                  <w:rStyle w:val="Style14"/>
                  <w:color w:val="1155CC"/>
                  <w:sz w:val="24"/>
                  <w:szCs w:val="24"/>
                  <w:lang w:val="ru-RU"/>
                </w:rPr>
                <w:t>://</w:t>
              </w:r>
              <w:r>
                <w:rPr>
                  <w:rStyle w:val="Style14"/>
                  <w:color w:val="1155CC"/>
                  <w:sz w:val="24"/>
                  <w:szCs w:val="24"/>
                  <w:lang w:val="en-US"/>
                </w:rPr>
                <w:t>dspace</w:t>
              </w:r>
              <w:r>
                <w:rPr>
                  <w:rStyle w:val="Style14"/>
                  <w:color w:val="1155CC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color w:val="1155CC"/>
                  <w:sz w:val="24"/>
                  <w:szCs w:val="24"/>
                  <w:lang w:val="en-US"/>
                </w:rPr>
                <w:t>nbuv</w:t>
              </w:r>
              <w:r>
                <w:rPr>
                  <w:rStyle w:val="Style14"/>
                  <w:color w:val="1155CC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color w:val="1155CC"/>
                  <w:sz w:val="24"/>
                  <w:szCs w:val="24"/>
                  <w:lang w:val="en-US"/>
                </w:rPr>
                <w:t>gov</w:t>
              </w:r>
              <w:r>
                <w:rPr>
                  <w:rStyle w:val="Style14"/>
                  <w:color w:val="1155CC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color w:val="1155CC"/>
                  <w:sz w:val="24"/>
                  <w:szCs w:val="24"/>
                  <w:lang w:val="en-US"/>
                </w:rPr>
                <w:t>ua</w:t>
              </w:r>
              <w:r>
                <w:rPr>
                  <w:rStyle w:val="Style14"/>
                  <w:color w:val="1155CC"/>
                  <w:sz w:val="24"/>
                  <w:szCs w:val="24"/>
                  <w:lang w:val="ru-RU"/>
                </w:rPr>
                <w:t>/</w:t>
              </w:r>
              <w:r>
                <w:rPr>
                  <w:rStyle w:val="Style14"/>
                  <w:color w:val="1155CC"/>
                  <w:sz w:val="24"/>
                  <w:szCs w:val="24"/>
                  <w:lang w:val="en-US"/>
                </w:rPr>
                <w:t>xmlui</w:t>
              </w:r>
              <w:r>
                <w:rPr>
                  <w:rStyle w:val="Style14"/>
                  <w:color w:val="1155CC"/>
                  <w:sz w:val="24"/>
                  <w:szCs w:val="24"/>
                  <w:lang w:val="ru-RU"/>
                </w:rPr>
                <w:t>/</w:t>
              </w:r>
              <w:r>
                <w:rPr>
                  <w:rStyle w:val="Style14"/>
                  <w:color w:val="1155CC"/>
                  <w:sz w:val="24"/>
                  <w:szCs w:val="24"/>
                  <w:lang w:val="en-US"/>
                </w:rPr>
                <w:t>handle</w:t>
              </w:r>
              <w:r>
                <w:rPr>
                  <w:rStyle w:val="Style14"/>
                  <w:color w:val="1155CC"/>
                  <w:sz w:val="24"/>
                  <w:szCs w:val="24"/>
                  <w:lang w:val="ru-RU"/>
                </w:rPr>
                <w:t>/123456789/86749</w:t>
              </w:r>
            </w:hyperlink>
          </w:p>
          <w:p>
            <w:pPr>
              <w:pStyle w:val="TableParagraph"/>
              <w:ind w:left="0" w:hanging="0"/>
              <w:rPr/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Сарапін, О. (2009) ‘Феноменологія релігії в її суперечливому баченні’. </w:t>
            </w:r>
            <w:r>
              <w:rPr>
                <w:color w:val="000000"/>
                <w:sz w:val="24"/>
                <w:szCs w:val="24"/>
                <w:lang w:val="en-US"/>
              </w:rPr>
              <w:t>Available at:</w:t>
            </w:r>
            <w:hyperlink r:id="rId4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 xml:space="preserve"> </w:t>
              </w:r>
              <w:r>
                <w:rPr>
                  <w:rStyle w:val="Style14"/>
                  <w:color w:val="1155CC"/>
                  <w:sz w:val="24"/>
                  <w:szCs w:val="24"/>
                  <w:lang w:val="en-US"/>
                </w:rPr>
                <w:t>http://dspace.nbuv.gov.ua/xmlui/handle/123456789/43975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Дискусія на тему: 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можна дослідити релігійний досвід?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Опрацювання джерела</w:t>
            </w:r>
          </w:p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63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Основні нариси феноменології Е.Гусерля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68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Феноменологія як панацея для філософії?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Гуссерль Е. Криза європейських наук і трансцендентальна феноменологія / Філософська думка, 2002, №3. - С.134-149.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Дискусія на тему: 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здатні ми досягти чистого розуму?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Опрацювання джерела</w:t>
            </w:r>
          </w:p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09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Архетипи і суспільні науки: феноменологічні ідеї Ернста Трьольча, Макса Вебера та Карла Юнга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49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Соціальний вимір феноменології релігії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Семінарське заняття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202122"/>
                <w:shd w:fill="FFFFFF" w:val="clear"/>
              </w:rPr>
              <w:t>Вебер М. Протестантська етика і дух капіталізму. - Київ, Наш формат, 2018. - 216 с. 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202122"/>
                <w:shd w:fill="FFFFFF" w:val="clear"/>
              </w:rPr>
              <w:t xml:space="preserve">Юнг К.Г. Архетипи і колективне несвідоме. - Львів, Астролябія, 2018. - 608 с.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Дискусія на тему: 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 рухає суспільство?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Опрацювання джерела</w:t>
            </w:r>
          </w:p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71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Нідерландська школа феноменології релігії: Бреде Крістенсен, ван дер Лєу, Блікер.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821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Сакральне у контексті релігієзнавства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Дзюба, О.В. (2009) ‘Категорія “священне” Р.Отто в контексті методологічних аспектів релігієзнавчої теорії’. Available at:</w:t>
            </w:r>
            <w:hyperlink r:id="rId5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 xml:space="preserve"> </w:t>
              </w:r>
              <w:r>
                <w:rPr>
                  <w:rStyle w:val="Style14"/>
                  <w:color w:val="1155CC"/>
                  <w:sz w:val="24"/>
                  <w:szCs w:val="24"/>
                  <w:lang w:val="en-US"/>
                </w:rPr>
                <w:t>http://dspace.nbuv.gov.ua/xmlui/handle/123456789/77287</w:t>
              </w:r>
            </w:hyperlink>
          </w:p>
          <w:p>
            <w:pPr>
              <w:pStyle w:val="TableParagraph"/>
              <w:ind w:left="0" w:hanging="0"/>
              <w:rPr/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Рудольф Отто - Ідея Святого.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(2020)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Рудольф Отто - Ідея Святого.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Available at:</w:t>
            </w:r>
            <w:hyperlink r:id="rId6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 xml:space="preserve"> </w:t>
              </w:r>
              <w:r>
                <w:rPr>
                  <w:rStyle w:val="Style14"/>
                  <w:color w:val="1155CC"/>
                  <w:sz w:val="24"/>
                  <w:szCs w:val="24"/>
                  <w:lang w:val="en-US"/>
                </w:rPr>
                <w:t>https://delphipages.live/uk/різне/the-idea-of-the-holy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Дискусія на тему: 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чого людині досвід священного?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Опрацювання джерела</w:t>
            </w:r>
          </w:p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04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 тиждень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Британська школа феноменології релігії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1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Практичні методи визначення релігії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Cox, J. (2006) </w:t>
            </w: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 Guide to the Phenomenology of Religion: Key Figures, Formative Influences and Subsequent Debates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. 1st edition. London ; New York: Continuum.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Дискусія на тему: 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можливе дослідження релігії без занурення у неї?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Опрацювання джерела</w:t>
            </w:r>
          </w:p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683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Чиказька школа релігієзнавства: Вак, Еліаде, Вільямс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Лекція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693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Осмислення структурних елементів релігії та критичні підходи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Wynn, M. (2021) ‘Phenomenology of Religion’, in E.N. Zalta (ed.)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The Stanford Encyclopedia of Philosophy</w:t>
            </w:r>
            <w:r>
              <w:rPr>
                <w:color w:val="000000"/>
                <w:sz w:val="24"/>
                <w:szCs w:val="24"/>
                <w:lang w:val="en-US"/>
              </w:rPr>
              <w:t>. Winter 2021. Metaphysics Research Lab, Stanford University. Available at:</w:t>
            </w:r>
            <w:hyperlink r:id="rId7">
              <w:r>
                <w:rPr>
                  <w:rStyle w:val="Style14"/>
                  <w:color w:val="000000"/>
                  <w:sz w:val="24"/>
                  <w:szCs w:val="24"/>
                  <w:u w:val="none"/>
                  <w:lang w:val="en-US"/>
                </w:rPr>
                <w:t xml:space="preserve"> </w:t>
              </w:r>
              <w:r>
                <w:rPr>
                  <w:rStyle w:val="Style14"/>
                  <w:color w:val="1155CC"/>
                  <w:sz w:val="24"/>
                  <w:szCs w:val="24"/>
                  <w:lang w:val="en-US"/>
                </w:rPr>
                <w:t>https://plato.stanford.edu/archives/win2021/entries/phenomenology-religion/</w:t>
              </w:r>
            </w:hyperlink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Дискусія на тему: 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Часово-просторові петлі священного 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Опрацювання джерела</w:t>
            </w:r>
          </w:p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16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Феноменологія релігії на роздоріжжі: академічні дискусії щодо засад релігієзнавства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лекція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689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Криза релігієзнавства та переосмислення засад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Stausberg, M. (ed.) (2009) </w:t>
            </w:r>
            <w:r>
              <w:rPr>
                <w:i/>
                <w:iCs/>
                <w:color w:val="000000"/>
                <w:lang w:val="en-GB"/>
              </w:rPr>
              <w:t>Contemporary Theories of Religion: A Critical Companion</w:t>
            </w:r>
            <w:r>
              <w:rPr>
                <w:color w:val="000000"/>
                <w:lang w:val="en-GB"/>
              </w:rPr>
              <w:t>. 1st edition. Routledge.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/>
            </w:pPr>
            <w:r>
              <w:rPr>
                <w:color w:val="000000"/>
                <w:lang w:val="en-GB"/>
              </w:rPr>
              <w:t xml:space="preserve">Flood, G. (1999) </w:t>
            </w:r>
            <w:r>
              <w:rPr>
                <w:i/>
                <w:iCs/>
                <w:color w:val="000000"/>
                <w:lang w:val="en-GB"/>
              </w:rPr>
              <w:t>Beyond Phenomenology: Rethinking the Study of Religion</w:t>
            </w:r>
            <w:r>
              <w:rPr>
                <w:color w:val="000000"/>
                <w:lang w:val="en-GB"/>
              </w:rPr>
              <w:t xml:space="preserve">. </w:t>
            </w:r>
            <w:r>
              <w:rPr>
                <w:color w:val="000000"/>
              </w:rPr>
              <w:t>London ; New York: Continuum.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Дискусія на тему: 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 можливе об’єктивне дослідження релігії?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Опрацювання джерела</w:t>
            </w:r>
          </w:p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57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тиждень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Спадкоємці феноменології релігії: трансперсональна психологія і нейрофеноменологія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Лекції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693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</w:rPr>
              <w:t xml:space="preserve"> тиждень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Нейронауки, психотерапія, психоделіки і феноменологія релігії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Семінарське заняття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lang w:val="en-GB"/>
              </w:rPr>
            </w:pPr>
            <w:r>
              <w:rPr>
                <w:color w:val="000000"/>
                <w:lang w:val="en-GB"/>
              </w:rPr>
              <w:t xml:space="preserve">Strenski, I. (2015) </w:t>
            </w:r>
            <w:r>
              <w:rPr>
                <w:i/>
                <w:iCs/>
                <w:color w:val="000000"/>
                <w:lang w:val="en-GB"/>
              </w:rPr>
              <w:t>Understanding Theories of Religion: An Introduction</w:t>
            </w:r>
            <w:r>
              <w:rPr>
                <w:color w:val="000000"/>
                <w:lang w:val="en-GB"/>
              </w:rPr>
              <w:t>. 2nd edition. Wiley-Blackwell.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Varela, F.J. and Shear, J. (eds) (1999)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View from Within: First-person Approaches to the Study of Consciousness</w:t>
            </w:r>
            <w:r>
              <w:rPr>
                <w:color w:val="000000"/>
                <w:sz w:val="24"/>
                <w:szCs w:val="24"/>
                <w:lang w:val="en-US"/>
              </w:rPr>
              <w:t>. Illustrated edition. Thorverton, UK ; Bowling Green, OH: Imprint Academic.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Дискусія на тему: </w:t>
            </w:r>
          </w:p>
          <w:p>
            <w:pPr>
              <w:pStyle w:val="TableParagraph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 можемо ми відтворити релігійний досвід?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Опрацювання джерела</w:t>
            </w:r>
          </w:p>
          <w:p>
            <w:pPr>
              <w:pStyle w:val="TableParagraph"/>
              <w:tabs>
                <w:tab w:val="clear" w:pos="708"/>
                <w:tab w:val="left" w:pos="1545" w:leader="none"/>
              </w:tabs>
              <w:ind w:left="0" w:hang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2d2f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uk-U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Гіперпосилання"/>
    <w:basedOn w:val="DefaultParagraphFont"/>
    <w:uiPriority w:val="99"/>
    <w:rsid w:val="00a25686"/>
    <w:rPr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sid w:val="00a25686"/>
    <w:rPr>
      <w:color w:val="auto"/>
      <w:shd w:fill="auto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Times New Roman"/>
      <w:sz w:val="24"/>
      <w:szCs w:val="24"/>
    </w:rPr>
  </w:style>
  <w:style w:type="character" w:styleId="ListLabel55">
    <w:name w:val="ListLabel 55"/>
    <w:qFormat/>
    <w:rPr>
      <w:color w:val="000000"/>
      <w:sz w:val="24"/>
      <w:szCs w:val="24"/>
      <w:u w:val="none"/>
      <w:lang w:val="ru-RU"/>
    </w:rPr>
  </w:style>
  <w:style w:type="character" w:styleId="ListLabel56">
    <w:name w:val="ListLabel 56"/>
    <w:qFormat/>
    <w:rPr>
      <w:color w:val="1155CC"/>
      <w:sz w:val="24"/>
      <w:szCs w:val="24"/>
      <w:lang w:val="en-US"/>
    </w:rPr>
  </w:style>
  <w:style w:type="character" w:styleId="ListLabel57">
    <w:name w:val="ListLabel 57"/>
    <w:qFormat/>
    <w:rPr>
      <w:color w:val="1155CC"/>
      <w:sz w:val="24"/>
      <w:szCs w:val="24"/>
      <w:lang w:val="ru-RU"/>
    </w:rPr>
  </w:style>
  <w:style w:type="character" w:styleId="ListLabel58">
    <w:name w:val="ListLabel 58"/>
    <w:qFormat/>
    <w:rPr>
      <w:color w:val="000000"/>
      <w:sz w:val="24"/>
      <w:szCs w:val="24"/>
      <w:u w:val="none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75841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c23b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TableParagraph" w:customStyle="1">
    <w:name w:val="Table Paragraph"/>
    <w:basedOn w:val="Normal"/>
    <w:uiPriority w:val="99"/>
    <w:qFormat/>
    <w:rsid w:val="00a86b8c"/>
    <w:pPr>
      <w:widowControl w:val="false"/>
      <w:spacing w:lineRule="auto" w:line="240" w:before="0" w:after="0"/>
      <w:ind w:left="104" w:hanging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455342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space.nbuv.gov.ua/xmlui/handle/123456789/77287" TargetMode="External"/><Relationship Id="rId3" Type="http://schemas.openxmlformats.org/officeDocument/2006/relationships/hyperlink" Target="http://dspace.nbuv.gov.ua/xmlui/handle/123456789/86749" TargetMode="External"/><Relationship Id="rId4" Type="http://schemas.openxmlformats.org/officeDocument/2006/relationships/hyperlink" Target="http://dspace.nbuv.gov.ua/xmlui/handle/123456789/43975" TargetMode="External"/><Relationship Id="rId5" Type="http://schemas.openxmlformats.org/officeDocument/2006/relationships/hyperlink" Target="http://dspace.nbuv.gov.ua/xmlui/handle/123456789/77287" TargetMode="External"/><Relationship Id="rId6" Type="http://schemas.openxmlformats.org/officeDocument/2006/relationships/hyperlink" Target="https://delphipages.live/uk/&#1088;&#1110;&#1079;&#1085;&#1077;/the-idea-of-the-holy" TargetMode="External"/><Relationship Id="rId7" Type="http://schemas.openxmlformats.org/officeDocument/2006/relationships/hyperlink" Target="https://plato.stanford.edu/archives/win2021/entries/phenomenology-religion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Application>LibreOffice/6.2.4.2$Windows_X86_64 LibreOffice_project/2412653d852ce75f65fbfa83fb7e7b669a126d64</Application>
  <Pages>4</Pages>
  <Words>2207</Words>
  <Characters>15364</Characters>
  <CharactersWithSpaces>17869</CharactersWithSpaces>
  <Paragraphs>265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2022-08-24T08:43:00Z</dcterms:created>
  <dc:creator>Ольга Ліщинська</dc:creator>
  <dc:description/>
  <dc:language>uk-UA</dc:language>
  <cp:lastModifiedBy>КТІК</cp:lastModifiedBy>
  <dcterms:modified xsi:type="dcterms:W3CDTF">2022-10-06T13:00:00Z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