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0836BC" w:rsidRPr="000836BC" w:rsidRDefault="000836BC" w:rsidP="000836BC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 w:rsidR="007D2250">
        <w:rPr>
          <w:rFonts w:ascii="Times New Roman" w:hAnsi="Times New Roman"/>
        </w:rPr>
        <w:t xml:space="preserve">1 від </w:t>
      </w:r>
      <w:r w:rsidR="007D2250">
        <w:rPr>
          <w:rFonts w:ascii="Times New Roman" w:hAnsi="Times New Roman"/>
          <w:lang w:val="en-US"/>
        </w:rPr>
        <w:t>30</w:t>
      </w:r>
      <w:r>
        <w:rPr>
          <w:rFonts w:ascii="Times New Roman" w:hAnsi="Times New Roman"/>
        </w:rPr>
        <w:t xml:space="preserve"> серпня</w:t>
      </w:r>
      <w:r w:rsidRPr="000836BC">
        <w:rPr>
          <w:rFonts w:ascii="Times New Roman" w:hAnsi="Times New Roman"/>
        </w:rPr>
        <w:t xml:space="preserve"> 20</w:t>
      </w:r>
      <w:r w:rsidR="007D2250">
        <w:rPr>
          <w:rFonts w:ascii="Times New Roman" w:hAnsi="Times New Roman"/>
        </w:rPr>
        <w:t>2</w:t>
      </w:r>
      <w:r w:rsidR="007D2250">
        <w:rPr>
          <w:rFonts w:ascii="Times New Roman" w:hAnsi="Times New Roman"/>
          <w:lang w:val="en-US"/>
        </w:rPr>
        <w:t>1</w:t>
      </w:r>
      <w:r w:rsidRPr="000836BC">
        <w:rPr>
          <w:rFonts w:ascii="Times New Roman" w:hAnsi="Times New Roman"/>
        </w:rPr>
        <w:t xml:space="preserve"> р.)</w:t>
      </w: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</w:p>
    <w:p w:rsidR="000836BC" w:rsidRPr="000836BC" w:rsidRDefault="000836BC" w:rsidP="000836BC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 w:rsidR="007D2250">
        <w:rPr>
          <w:rFonts w:ascii="Times New Roman" w:eastAsia="Times New Roman" w:hAnsi="Times New Roman"/>
          <w:b/>
          <w:color w:val="000000"/>
        </w:rPr>
        <w:t xml:space="preserve">Основи </w:t>
      </w:r>
      <w:r w:rsidR="007D2250">
        <w:rPr>
          <w:rFonts w:ascii="Times New Roman" w:eastAsia="Times New Roman" w:hAnsi="Times New Roman"/>
          <w:b/>
          <w:color w:val="000000"/>
          <w:lang w:val="en-US"/>
        </w:rPr>
        <w:t>GR</w:t>
      </w:r>
      <w:r w:rsidR="007D2250">
        <w:rPr>
          <w:rFonts w:ascii="Times New Roman" w:eastAsia="Times New Roman" w:hAnsi="Times New Roman"/>
          <w:b/>
          <w:color w:val="000000"/>
        </w:rPr>
        <w:t>-менеджменту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0836BC" w:rsidRPr="000836BC" w:rsidRDefault="000836BC" w:rsidP="000836BC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 w:rsidR="007D2250">
        <w:rPr>
          <w:rFonts w:ascii="Times New Roman" w:eastAsia="Times New Roman" w:hAnsi="Times New Roman"/>
          <w:b/>
          <w:color w:val="000000"/>
        </w:rPr>
        <w:t>«Урядування у публічній сфері</w:t>
      </w:r>
      <w:r>
        <w:rPr>
          <w:rFonts w:ascii="Times New Roman" w:eastAsia="Times New Roman" w:hAnsi="Times New Roman"/>
          <w:b/>
          <w:color w:val="000000"/>
        </w:rPr>
        <w:t xml:space="preserve">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 w:rsidR="007D2250">
        <w:rPr>
          <w:rFonts w:ascii="Times New Roman" w:eastAsia="Times New Roman" w:hAnsi="Times New Roman"/>
          <w:b/>
          <w:color w:val="000000"/>
        </w:rPr>
        <w:t>281 «Публічне управління та адміністрування</w:t>
      </w:r>
      <w:r>
        <w:rPr>
          <w:rFonts w:ascii="Times New Roman" w:eastAsia="Times New Roman" w:hAnsi="Times New Roman"/>
          <w:b/>
          <w:color w:val="000000"/>
        </w:rPr>
        <w:t>»</w:t>
      </w: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0836BC" w:rsidRPr="000836BC" w:rsidRDefault="000836BC" w:rsidP="000836BC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04453B" w:rsidRPr="000836BC" w:rsidRDefault="000836BC" w:rsidP="000836BC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 w:rsidR="007D2250">
        <w:rPr>
          <w:rFonts w:ascii="Times New Roman" w:eastAsia="Times New Roman" w:hAnsi="Times New Roman"/>
          <w:b/>
        </w:rPr>
        <w:t>2021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4529D" w:rsidTr="00D50A4A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7D2250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GR-менеджменту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C4529D" w:rsidTr="00D50A4A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7D2250" w:rsidP="00D50A4A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публічне управління та адміністрування; 281 «публічне управління та адміністрування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4529D" w:rsidTr="00D50A4A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</w:t>
            </w:r>
            <w:r w:rsidR="007D2250">
              <w:rPr>
                <w:rFonts w:ascii="Times New Roman" w:eastAsia="Times New Roman" w:hAnsi="Times New Roman" w:cs="Times New Roman"/>
                <w:sz w:val="24"/>
                <w:szCs w:val="24"/>
              </w:rPr>
              <w:t>ндидат політичних наук, 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29D" w:rsidTr="00D50A4A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7D2250" w:rsidP="00D50A4A">
            <w:pPr>
              <w:widowControl w:val="0"/>
              <w:rPr>
                <w:lang w:val="en-US"/>
              </w:rPr>
            </w:pPr>
            <w:hyperlink r:id="rId7" w:history="1">
              <w:r w:rsidR="00C4529D" w:rsidRPr="00491E2F">
                <w:rPr>
                  <w:rStyle w:val="a3"/>
                  <w:lang w:val="en-US"/>
                </w:rPr>
                <w:t>galyna.ilenkiv@gmail.com</w:t>
              </w:r>
            </w:hyperlink>
          </w:p>
          <w:p w:rsidR="00C4529D" w:rsidRPr="00CE5240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093461800</w:t>
            </w:r>
          </w:p>
        </w:tc>
      </w:tr>
      <w:tr w:rsidR="00C4529D" w:rsidTr="00D50A4A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13.00-15.00 год. (філософський факультет, вул. Університетська, 1, ауд.204)</w:t>
            </w:r>
          </w:p>
          <w:p w:rsidR="00C4529D" w:rsidRDefault="00C4529D" w:rsidP="00D50A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29D" w:rsidTr="00D50A4A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Pr="00481235" w:rsidRDefault="00C4529D" w:rsidP="005B129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 розроблено таким чином, щоб надати учасникам навчального процесу необхідні знання про </w:t>
            </w:r>
            <w:r w:rsidR="0048123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4812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government</w:t>
            </w:r>
            <w:r w:rsidR="00481235" w:rsidRPr="004812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23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relations</w:t>
            </w:r>
            <w:r w:rsidR="00481235">
              <w:rPr>
                <w:rFonts w:ascii="Times New Roman" w:eastAsia="Times New Roman" w:hAnsi="Times New Roman" w:cs="Times New Roman"/>
                <w:color w:val="000000"/>
              </w:rPr>
              <w:t xml:space="preserve">», тобто урядові відносини та управління ними. Курс має на меті сформувати систему знань, необхідних для </w:t>
            </w:r>
            <w:r w:rsidR="00730794">
              <w:rPr>
                <w:rFonts w:ascii="Times New Roman" w:eastAsia="Times New Roman" w:hAnsi="Times New Roman" w:cs="Times New Roman"/>
                <w:color w:val="000000"/>
              </w:rPr>
              <w:t xml:space="preserve">побудови стратегії та </w:t>
            </w:r>
            <w:r w:rsidR="00481235">
              <w:rPr>
                <w:rFonts w:ascii="Times New Roman" w:eastAsia="Times New Roman" w:hAnsi="Times New Roman" w:cs="Times New Roman"/>
                <w:color w:val="000000"/>
              </w:rPr>
              <w:t xml:space="preserve">ведення менеджерської діяльності у взаємодії із державним сектором. Курс враховує </w:t>
            </w:r>
            <w:r w:rsidR="00730794">
              <w:rPr>
                <w:rFonts w:ascii="Times New Roman" w:eastAsia="Times New Roman" w:hAnsi="Times New Roman" w:cs="Times New Roman"/>
                <w:color w:val="000000"/>
              </w:rPr>
              <w:t xml:space="preserve">взаємодію трьох секторів: державного, бізнесового та громадського із акцентом на державний. 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Pr="00A41B91" w:rsidRDefault="009F1639" w:rsidP="00B97E2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730794" w:rsidRPr="007D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GR-менеджменту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730794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исципліною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циклу професійної і практичної підготовки першого (бакалаврського рівня) вищої освіти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 спеціальності </w:t>
            </w:r>
            <w:r w:rsidR="00730794">
              <w:rPr>
                <w:rFonts w:ascii="Times New Roman" w:eastAsia="Times New Roman" w:hAnsi="Times New Roman"/>
                <w:sz w:val="24"/>
                <w:szCs w:val="24"/>
              </w:rPr>
              <w:t>281 «Публічне управління та адміністрування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0D5EC0">
              <w:rPr>
                <w:rFonts w:ascii="Times New Roman" w:eastAsia="Times New Roman" w:hAnsi="Times New Roman"/>
                <w:sz w:val="24"/>
                <w:szCs w:val="24"/>
              </w:rPr>
              <w:t>«Урядування у публічній сфері», яка викладається в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0D5EC0">
              <w:rPr>
                <w:rFonts w:ascii="Times New Roman" w:eastAsia="Times New Roman" w:hAnsi="Times New Roman"/>
                <w:sz w:val="24"/>
                <w:szCs w:val="24"/>
              </w:rPr>
              <w:t>3 кредити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Кредитно-Трансферною Системою ECTS).</w:t>
            </w:r>
            <w:r w:rsidR="00A41B91" w:rsidRPr="00A41B9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Дисципліна </w:t>
            </w:r>
            <w:r w:rsidR="0024693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46936" w:rsidRPr="007D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GR-менеджменту</w:t>
            </w:r>
            <w:r w:rsidR="00A41B91">
              <w:rPr>
                <w:rFonts w:ascii="Times New Roman" w:eastAsia="Times New Roman" w:hAnsi="Times New Roman"/>
                <w:sz w:val="24"/>
                <w:szCs w:val="24"/>
              </w:rPr>
              <w:t>» покликана забезпечити формування у студентів необхідних знань та навичок для подальшого здобуття</w:t>
            </w:r>
            <w:r w:rsidR="00B97E22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професійних знань, розуміння основ функц</w:t>
            </w:r>
            <w:r w:rsidR="00246936">
              <w:rPr>
                <w:rFonts w:ascii="Times New Roman" w:eastAsia="Times New Roman" w:hAnsi="Times New Roman"/>
                <w:sz w:val="24"/>
                <w:szCs w:val="24"/>
              </w:rPr>
              <w:t>іонування урядових відносин</w:t>
            </w:r>
            <w:r w:rsidR="00B97E22">
              <w:rPr>
                <w:rFonts w:ascii="Times New Roman" w:eastAsia="Times New Roman" w:hAnsi="Times New Roman"/>
                <w:sz w:val="24"/>
                <w:szCs w:val="24"/>
              </w:rPr>
              <w:t>, загаль</w:t>
            </w:r>
            <w:r w:rsidR="00246936">
              <w:rPr>
                <w:rFonts w:ascii="Times New Roman" w:eastAsia="Times New Roman" w:hAnsi="Times New Roman"/>
                <w:sz w:val="24"/>
                <w:szCs w:val="24"/>
              </w:rPr>
              <w:t xml:space="preserve">них принципів та механізмів ведення </w:t>
            </w:r>
            <w:r w:rsidR="0024693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</w:t>
            </w:r>
            <w:r w:rsidR="00246936">
              <w:rPr>
                <w:rFonts w:ascii="Times New Roman" w:eastAsia="Times New Roman" w:hAnsi="Times New Roman"/>
                <w:sz w:val="24"/>
                <w:szCs w:val="24"/>
              </w:rPr>
              <w:t>-кампаній</w:t>
            </w:r>
            <w:r w:rsidR="00B97E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4529D" w:rsidTr="00D50A4A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Pr="00CE5240" w:rsidRDefault="00C4529D" w:rsidP="00AB3818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>Метою навчального курсу «</w:t>
            </w:r>
            <w:r w:rsidR="007B0306" w:rsidRPr="007D2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GR-менеджменту</w:t>
            </w:r>
            <w:r w:rsidRPr="00CE5240">
              <w:rPr>
                <w:rFonts w:ascii="Times New Roman" w:eastAsia="Times New Roman" w:hAnsi="Times New Roman" w:cs="Times New Roman"/>
              </w:rPr>
              <w:t xml:space="preserve">» є </w:t>
            </w:r>
            <w:r w:rsidR="00AB3818">
              <w:rPr>
                <w:rFonts w:ascii="Times New Roman" w:eastAsia="Times New Roman" w:hAnsi="Times New Roman" w:cs="Times New Roman"/>
              </w:rPr>
              <w:t>сформувати у студен</w:t>
            </w:r>
            <w:r w:rsidR="007B0306">
              <w:rPr>
                <w:rFonts w:ascii="Times New Roman" w:eastAsia="Times New Roman" w:hAnsi="Times New Roman" w:cs="Times New Roman"/>
              </w:rPr>
              <w:t xml:space="preserve">тів розуміння сутності, механізмів урядових відносин, базуючись на сучасних інструментах ведення </w:t>
            </w:r>
            <w:r w:rsidR="007B0306">
              <w:rPr>
                <w:rFonts w:ascii="Times New Roman" w:eastAsia="Times New Roman" w:hAnsi="Times New Roman" w:cs="Times New Roman"/>
                <w:lang w:val="en-US"/>
              </w:rPr>
              <w:t>GR</w:t>
            </w:r>
            <w:proofErr w:type="spellStart"/>
            <w:r w:rsidR="007B0306" w:rsidRPr="007B0306">
              <w:rPr>
                <w:rFonts w:ascii="Times New Roman" w:eastAsia="Times New Roman" w:hAnsi="Times New Roman" w:cs="Times New Roman"/>
              </w:rPr>
              <w:t>-</w:t>
            </w:r>
            <w:r w:rsidR="007B0306">
              <w:rPr>
                <w:rFonts w:ascii="Times New Roman" w:eastAsia="Times New Roman" w:hAnsi="Times New Roman" w:cs="Times New Roman"/>
              </w:rPr>
              <w:t>кампаній</w:t>
            </w:r>
            <w:proofErr w:type="spellEnd"/>
            <w:r w:rsidR="00AB3818">
              <w:rPr>
                <w:rFonts w:ascii="Times New Roman" w:eastAsia="Times New Roman" w:hAnsi="Times New Roman" w:cs="Times New Roman"/>
              </w:rPr>
              <w:t>, позна</w:t>
            </w:r>
            <w:r w:rsidR="00172525">
              <w:rPr>
                <w:rFonts w:ascii="Times New Roman" w:eastAsia="Times New Roman" w:hAnsi="Times New Roman" w:cs="Times New Roman"/>
              </w:rPr>
              <w:t xml:space="preserve">йомити з механізмами </w:t>
            </w:r>
            <w:proofErr w:type="spellStart"/>
            <w:r w:rsidR="00172525">
              <w:rPr>
                <w:rFonts w:ascii="Times New Roman" w:eastAsia="Times New Roman" w:hAnsi="Times New Roman" w:cs="Times New Roman"/>
              </w:rPr>
              <w:t>стратегування</w:t>
            </w:r>
            <w:proofErr w:type="spellEnd"/>
            <w:r w:rsidR="00172525">
              <w:rPr>
                <w:rFonts w:ascii="Times New Roman" w:eastAsia="Times New Roman" w:hAnsi="Times New Roman" w:cs="Times New Roman"/>
              </w:rPr>
              <w:t>, проектного менеджменту,</w:t>
            </w:r>
            <w:r w:rsidR="00063D69">
              <w:rPr>
                <w:rFonts w:ascii="Times New Roman" w:eastAsia="Times New Roman" w:hAnsi="Times New Roman" w:cs="Times New Roman"/>
              </w:rPr>
              <w:t xml:space="preserve"> структурою</w:t>
            </w:r>
            <w:r w:rsidR="00172525">
              <w:rPr>
                <w:rFonts w:ascii="Times New Roman" w:eastAsia="Times New Roman" w:hAnsi="Times New Roman" w:cs="Times New Roman"/>
              </w:rPr>
              <w:t xml:space="preserve"> владних інститутів та державного сектору загалом</w:t>
            </w:r>
            <w:r w:rsidR="00AB381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4529D" w:rsidTr="002C6926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F3F54" w:rsidRPr="002C6926" w:rsidRDefault="002F3F54" w:rsidP="002F3F54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26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</w:p>
          <w:p w:rsidR="00B00C57" w:rsidRPr="00432285" w:rsidRDefault="00B00C57" w:rsidP="00B00C57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Гірняк О. М. Менеджмент : підручник для студентів вищих закладів освіти /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О. М. Гірняк, П. П.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Лазановський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. – Львів :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«Магнолія 2006», 2017. – 352 с</w:t>
            </w:r>
            <w:r w:rsidR="00432285" w:rsidRPr="00432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2285" w:rsidRPr="00432285" w:rsidRDefault="00432285" w:rsidP="0043228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Бебик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В. М. Інформаційно-комунікаційний менеджмент у глобальному суспільстві: психологія, технології, техніка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паблік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монографія / В. М.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Бебик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. – Київ : МАУП, 2005. – 440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32285">
              <w:rPr>
                <w:rFonts w:ascii="Times New Roman" w:hAnsi="Times New Roman" w:cs="Times New Roman"/>
                <w:sz w:val="24"/>
                <w:szCs w:val="24"/>
              </w:rPr>
              <w:t>: https://studentbooks.com.ua/content/view/1028/42/</w:t>
            </w:r>
          </w:p>
          <w:bookmarkEnd w:id="0"/>
          <w:p w:rsidR="00432285" w:rsidRPr="00432285" w:rsidRDefault="000E7DEB" w:rsidP="0043228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С. Ефективне управління і публічна політика як напрям реалізації політичної влади в умовах кризи / С.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Телешун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/ Політичний менеджмент. — 2009. — № 2(35). — С. 35-45. — укр. </w:t>
            </w:r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32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432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dspace</w:t>
              </w:r>
              <w:proofErr w:type="spellEnd"/>
              <w:r w:rsidRPr="00432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nbuv</w:t>
              </w:r>
              <w:proofErr w:type="spellEnd"/>
              <w:r w:rsidRPr="00432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432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  <w:r w:rsidRPr="00432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handle</w:t>
              </w:r>
              <w:r w:rsidRPr="0043228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/123456789/59778</w:t>
              </w:r>
            </w:hyperlink>
          </w:p>
          <w:p w:rsidR="000E7DEB" w:rsidRPr="000E7DEB" w:rsidRDefault="000E7DEB" w:rsidP="00B00C57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Трілленберг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. Проектний менеджмент. Конспект лекцій і семінарів. – Тернопіль: Економічна думка, 2001. – 95 с.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http://library.wunu.edu.ua/files/EVD/kl_proekt_men_trillinberg.pdf</w:t>
              </w:r>
            </w:hyperlink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57" w:rsidRPr="000E7DEB" w:rsidRDefault="000E7DEB" w:rsidP="000E7DE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П. П.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Політологія: історія та теорія: Підручник / П. П.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Шляхтун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. — К.: Центр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учбової літератури, 2010. — 472 с.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http://194.44.152.155/elib/local/sk756391.pdf</w:t>
              </w:r>
            </w:hyperlink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DEB" w:rsidRPr="000E7DEB" w:rsidRDefault="000E7DEB" w:rsidP="000E7D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Pr="000E7DE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Furneaux</w:t>
              </w:r>
            </w:hyperlink>
            <w:r w:rsidRPr="000E7D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Cr., Ryan N. </w:t>
            </w:r>
            <w:proofErr w:type="spellStart"/>
            <w:r w:rsidRPr="000E7D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Modelling</w:t>
            </w:r>
            <w:proofErr w:type="spellEnd"/>
            <w:r w:rsidRPr="000E7D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NPO–Government Relations: Australian case studies/ 2014/ URL: https://doi.org/10.1080/14719037.2014.895030</w:t>
            </w:r>
          </w:p>
          <w:p w:rsidR="000E7DEB" w:rsidRPr="000E7DEB" w:rsidRDefault="000E7DEB" w:rsidP="000E7DE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Grosse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21st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Century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Cambridge University Press/2005 URL: </w:t>
            </w:r>
            <w:hyperlink r:id="rId12" w:history="1"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https://books.google.com.ua/books?id=IHpKgV2wkTMC&amp;lpg=PR8&amp;ots=qNJANNJf4x&amp;dq=government%20relations%20management%20&amp;lr&amp;hl=uk&amp;pg=PR4#v=onepage&amp;q=government%20relations%20management&amp;f=false</w:t>
              </w:r>
            </w:hyperlink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7DEB" w:rsidRPr="000E7DEB" w:rsidRDefault="000E7DEB" w:rsidP="000E7DE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Meznar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Martin B., Johnson Julius H., Jr. Business-Government Relations Within a Contingency Theory Framework: Strategy, Structure, Fit, and Performance/ URL: </w:t>
            </w:r>
            <w:hyperlink r:id="rId13" w:history="1"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https://doi.org/10.1177/0007650305275305</w:t>
              </w:r>
            </w:hyperlink>
          </w:p>
          <w:p w:rsidR="000E7DEB" w:rsidRPr="000E7DEB" w:rsidRDefault="000E7DEB" w:rsidP="000E7DE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0E7D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Najam</w:t>
              </w:r>
            </w:hyperlink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C's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Sector-Government </w:t>
            </w:r>
            <w:proofErr w:type="spellStart"/>
            <w:r w:rsidRPr="000E7DEB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2003/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15" w:history="1">
              <w:r w:rsidRPr="000E7DEB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https://doi.org/10.1002/nml.10403</w:t>
              </w:r>
            </w:hyperlink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7DEB" w:rsidRPr="000E7DEB" w:rsidRDefault="000E7DEB" w:rsidP="000E7DE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Rhodes R.A.W. Control and Power in Central-local Government Relations/</w:t>
            </w:r>
            <w:r w:rsidRPr="000E7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16" w:tgtFrame="_blank" w:history="1">
              <w:r w:rsidRPr="000E7DEB">
                <w:rPr>
                  <w:rStyle w:val="a3"/>
                  <w:rFonts w:ascii="Times New Roman" w:hAnsi="Times New Roman" w:cs="Times New Roman"/>
                  <w:color w:val="auto"/>
                  <w:spacing w:val="5"/>
                  <w:sz w:val="24"/>
                  <w:szCs w:val="24"/>
                  <w:u w:val="none"/>
                  <w:shd w:val="clear" w:color="auto" w:fill="FFFFFF"/>
                </w:rPr>
                <w:t>https://doi.org/10.4324/9780429463518</w:t>
              </w:r>
            </w:hyperlink>
          </w:p>
          <w:p w:rsidR="000E7DEB" w:rsidRPr="0084473F" w:rsidRDefault="000E7DEB" w:rsidP="000E7DEB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9D" w:rsidTr="00A41B91">
        <w:trPr>
          <w:trHeight w:val="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AB3818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87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8746FB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__48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 аудиторних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них </w:t>
            </w:r>
            <w:r w:rsidR="0087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лекцій.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529D" w:rsidRDefault="008746FB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_42</w:t>
            </w:r>
            <w:r w:rsidR="00C4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 самостійної роботи</w:t>
            </w:r>
          </w:p>
        </w:tc>
      </w:tr>
      <w:tr w:rsidR="00C4529D" w:rsidTr="00D50A4A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AA2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D50A4A" w:rsidRPr="009A6E11" w:rsidRDefault="009A6E11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6E11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="00A57A71">
              <w:rPr>
                <w:rFonts w:ascii="Times New Roman" w:eastAsia="Times New Roman" w:hAnsi="Times New Roman" w:cs="Times New Roman"/>
                <w:color w:val="000000"/>
              </w:rPr>
              <w:t xml:space="preserve">новні категорії </w:t>
            </w:r>
            <w:r w:rsidR="00821A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proofErr w:type="spellStart"/>
            <w:r w:rsidR="00821A16">
              <w:rPr>
                <w:rFonts w:ascii="Times New Roman" w:eastAsia="Times New Roman" w:hAnsi="Times New Roman" w:cs="Times New Roman"/>
                <w:color w:val="000000"/>
              </w:rPr>
              <w:t>-менеджменту</w:t>
            </w:r>
            <w:proofErr w:type="spellEnd"/>
            <w:r w:rsidR="00821A16">
              <w:rPr>
                <w:rFonts w:ascii="Times New Roman" w:eastAsia="Times New Roman" w:hAnsi="Times New Roman" w:cs="Times New Roman"/>
                <w:color w:val="000000"/>
              </w:rPr>
              <w:t>, його функції, завдання та принципи реалізації</w:t>
            </w:r>
          </w:p>
          <w:p w:rsidR="00821A16" w:rsidRDefault="00821A16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структуру владних інститутів та відносин, базу нормативно-правових актів, регулюючих діяльність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-менеджменту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21A16" w:rsidRDefault="00821A16" w:rsidP="009A6E1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основи менеджменту та проектного менеджменту</w:t>
            </w:r>
          </w:p>
          <w:p w:rsidR="008265FB" w:rsidRPr="00D73779" w:rsidRDefault="00821A16" w:rsidP="00D7377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суть та специфіку м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інструментів</w:t>
            </w:r>
            <w:r w:rsidRPr="00821A1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-менеджменту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їхнього використання</w:t>
            </w:r>
          </w:p>
          <w:p w:rsidR="00C4529D" w:rsidRDefault="00C4529D" w:rsidP="00D50A4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CE2A61" w:rsidRDefault="003122BE" w:rsidP="00AA2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розробляти стратегію взаємодії із владними структурами</w:t>
            </w:r>
          </w:p>
          <w:p w:rsidR="003122BE" w:rsidRDefault="003122BE" w:rsidP="00AA2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поєднювати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моделі та інструменти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3122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менеджменту</w:t>
            </w:r>
          </w:p>
          <w:p w:rsidR="003122BE" w:rsidRPr="00AA2836" w:rsidRDefault="003122BE" w:rsidP="00AA283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будувати та реалізовувати системні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r w:rsidRPr="003122B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кампанії </w:t>
            </w:r>
          </w:p>
        </w:tc>
      </w:tr>
      <w:tr w:rsidR="00C4529D" w:rsidTr="00D50A4A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Pr="00D31ED7" w:rsidRDefault="00D31ED7" w:rsidP="00D31ED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Урядові відносини,</w:t>
            </w:r>
            <w:r w:rsidRPr="00D31E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proofErr w:type="spellStart"/>
            <w:r w:rsidRPr="00D31ED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proofErr w:type="spellStart"/>
            <w:r w:rsidRPr="00D31ED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кампанія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</w:t>
            </w:r>
            <w:r w:rsidRPr="00D31ED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стратегія.</w:t>
            </w:r>
          </w:p>
        </w:tc>
      </w:tr>
      <w:tr w:rsidR="00C4529D" w:rsidTr="00B97E22">
        <w:trPr>
          <w:trHeight w:val="4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C4529D" w:rsidTr="00A41B91">
        <w:trPr>
          <w:trHeight w:val="7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C4529D" w:rsidTr="00B97E22">
        <w:trPr>
          <w:trHeight w:val="60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5B1297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C4529D" w:rsidTr="00D50A4A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F97814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потребують</w:t>
            </w:r>
            <w:r w:rsidR="00DA4361">
              <w:rPr>
                <w:rFonts w:ascii="Times New Roman" w:eastAsia="Times New Roman" w:hAnsi="Times New Roman" w:cs="Times New Roman"/>
                <w:color w:val="000000"/>
              </w:rPr>
              <w:t xml:space="preserve"> базових знань  із  дисциплін </w:t>
            </w:r>
            <w:r w:rsidR="00EC58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361">
              <w:rPr>
                <w:rFonts w:ascii="Times New Roman" w:eastAsia="Times New Roman" w:hAnsi="Times New Roman" w:cs="Times New Roman"/>
                <w:color w:val="000000"/>
              </w:rPr>
              <w:t>«Вступ до спеціальності»</w:t>
            </w:r>
            <w:r w:rsidR="00EC58D3">
              <w:rPr>
                <w:rFonts w:ascii="Times New Roman" w:eastAsia="Times New Roman" w:hAnsi="Times New Roman" w:cs="Times New Roman"/>
                <w:color w:val="000000"/>
              </w:rPr>
              <w:t>, «Система органів державної влади»</w:t>
            </w:r>
            <w:r w:rsidR="00DA43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C4529D" w:rsidRDefault="00FF454F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</w:tc>
      </w:tr>
      <w:tr w:rsidR="00C4529D" w:rsidTr="00D50A4A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C4529D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4529D" w:rsidRDefault="00C4529D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4529D" w:rsidRDefault="00C4529D" w:rsidP="00D50A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C4529D" w:rsidRDefault="00954B13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C4529D">
              <w:rPr>
                <w:rFonts w:ascii="Times New Roman" w:eastAsia="Times New Roman" w:hAnsi="Times New Roman" w:cs="Times New Roman"/>
                <w:color w:val="000000"/>
              </w:rPr>
              <w:t xml:space="preserve"> балів – усні відповіді на семінарських заняттях та виконання домашніх завдань</w:t>
            </w:r>
          </w:p>
          <w:p w:rsidR="00DB77F2" w:rsidRDefault="00DB77F2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балів – самостійна творча робота (есе)</w:t>
            </w:r>
          </w:p>
          <w:p w:rsidR="00C4529D" w:rsidRPr="00954B13" w:rsidRDefault="00954B13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50 балів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–підготовка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кампанії</w:t>
            </w:r>
          </w:p>
          <w:p w:rsidR="00C4529D" w:rsidRDefault="00C4529D" w:rsidP="00D50A4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529D" w:rsidRPr="00FF454F" w:rsidRDefault="00C4529D" w:rsidP="00FF454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</w:t>
            </w:r>
            <w:r w:rsidR="00FF454F">
              <w:rPr>
                <w:rFonts w:ascii="Times New Roman" w:eastAsia="Times New Roman" w:hAnsi="Times New Roman" w:cs="Times New Roman"/>
              </w:rPr>
              <w:t>на кількість балів – 100 балів.</w:t>
            </w:r>
          </w:p>
        </w:tc>
      </w:tr>
      <w:tr w:rsidR="0086778E" w:rsidTr="00D50A4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86778E" w:rsidRDefault="0086778E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Сутність явища урядових відносин 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взаємодії державного, бізнесового та громадського секторів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Взаємозв’язки із іншими сферами життєдіяльності людини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владних відносин та механізм поділу влади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Системи державного управління та місцевого самоврядування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Владні вертикалі та їхнє значення для GR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Основні принципи формування завдань та діяльності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Коротко-</w:t>
            </w:r>
            <w:proofErr w:type="spell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довгострокові перспективи у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-діяльності</w:t>
            </w:r>
            <w:proofErr w:type="spellEnd"/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Функції GR-менеджменту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Проектний менеджмент як система мислення та управління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Основи</w:t>
            </w:r>
            <w:proofErr w:type="spellEnd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стратегування</w:t>
            </w:r>
            <w:proofErr w:type="spellEnd"/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Механізми</w:t>
            </w:r>
            <w:proofErr w:type="spellEnd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проектами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Моделі взаємодії  влади, бізнесу та громадськості</w:t>
            </w:r>
          </w:p>
          <w:p w:rsidR="0086778E" w:rsidRPr="0086778E" w:rsidRDefault="0086778E" w:rsidP="0086778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та загрози особистих взаємодій із владними структурами</w:t>
            </w:r>
          </w:p>
          <w:p w:rsidR="0086778E" w:rsidRPr="0086778E" w:rsidRDefault="0086778E" w:rsidP="0086778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 та прогнозування</w:t>
            </w:r>
          </w:p>
          <w:p w:rsidR="0086778E" w:rsidRPr="0086778E" w:rsidRDefault="0086778E" w:rsidP="0086778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Адвокація</w:t>
            </w:r>
            <w:proofErr w:type="spell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лобіювання</w:t>
            </w:r>
          </w:p>
          <w:p w:rsidR="0086778E" w:rsidRPr="0086778E" w:rsidRDefault="0086778E" w:rsidP="0086778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кампанії, як система всіх необхідних для реалізації мети інструментів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Особливості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сфері державної влади.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Особливості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органами місцевого самоврядування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Сутність </w:t>
            </w: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адвокації</w:t>
            </w:r>
            <w:proofErr w:type="spell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лобіювання, їхні ключові відмінності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Взаємозалежність використання даних інструментів відмети діяльності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 та моделі поєднання інструментів для реалізації поставлених </w:t>
            </w: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цілейОсобливості</w:t>
            </w:r>
            <w:proofErr w:type="spell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менеджменту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Основні PR- інструменти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Моделі взаємодії GR та PR- інструментів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Явище публічної політики та вплив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її формування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Вплив публічної політики на формування суспільного порядку денного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кампанії як система використання інструментів та як проект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Стратегування</w:t>
            </w:r>
            <w:proofErr w:type="spellEnd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планування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кампаній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Управління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кампаніями а управління ризиками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Нормативно-</w:t>
            </w: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правова</w:t>
            </w:r>
            <w:proofErr w:type="spell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база </w:t>
            </w: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-менеджерів</w:t>
            </w:r>
            <w:proofErr w:type="spell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ітова практика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Особливості українського законодавства у сфері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86778E" w:rsidRPr="0086778E" w:rsidRDefault="0086778E" w:rsidP="0086778E">
            <w:pPr>
              <w:pStyle w:val="a4"/>
              <w:widowControl w:val="0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Недоліки та можливості законного регулювання </w:t>
            </w:r>
            <w:r w:rsidRPr="008677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Сучасний стан розвитку професії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-менеджера</w:t>
            </w:r>
            <w:proofErr w:type="spellEnd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Україні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Ризики ведення діяльності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-менеджера</w:t>
            </w:r>
            <w:proofErr w:type="spellEnd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Україні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Перспективи законного врегулювання сфери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86778E" w:rsidRPr="0086778E" w:rsidRDefault="0086778E" w:rsidP="0086778E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Перспективи розвитку професії </w:t>
            </w:r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-менеджера</w:t>
            </w:r>
            <w:proofErr w:type="spellEnd"/>
            <w:r w:rsidRPr="00867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Україні</w:t>
            </w:r>
          </w:p>
        </w:tc>
      </w:tr>
      <w:tr w:rsidR="0086778E" w:rsidTr="00D50A4A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86778E" w:rsidRDefault="0086778E" w:rsidP="00D50A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86778E" w:rsidRPr="007D2250" w:rsidRDefault="00A57A71" w:rsidP="0086778E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86778E" w:rsidRDefault="0086778E" w:rsidP="00C4529D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778E" w:rsidRDefault="0086778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C4529D" w:rsidRDefault="00C4529D" w:rsidP="00C4529D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C4529D" w:rsidRDefault="00C4529D" w:rsidP="0097254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972544" w:rsidRDefault="00972544" w:rsidP="00972544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040DDF" w:rsidRPr="0008723B" w:rsidTr="00040DDF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/ дата /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40DDF" w:rsidRPr="0008723B" w:rsidTr="00315A30">
        <w:trPr>
          <w:trHeight w:val="185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1.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4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843E44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3E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Сутність урядових відносин. Основні детермінанти </w:t>
            </w:r>
            <w:r w:rsidR="00843E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</w:p>
          <w:p w:rsidR="00843E44" w:rsidRDefault="00843E44" w:rsidP="00843E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Сутність явища урядових відносин </w:t>
            </w:r>
          </w:p>
          <w:p w:rsidR="00843E44" w:rsidRDefault="00843E44" w:rsidP="00843E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взаємодії державного, бізнесового та громадського секторів</w:t>
            </w:r>
          </w:p>
          <w:p w:rsidR="00843E44" w:rsidRDefault="00843E44" w:rsidP="00843E44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Взаємозв</w:t>
            </w:r>
            <w:r w:rsidRPr="00843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язки із іншими сферами життєдіяльності людини</w:t>
            </w:r>
          </w:p>
          <w:p w:rsidR="00843E44" w:rsidRPr="0008723B" w:rsidRDefault="00843E44" w:rsidP="00843E44">
            <w:pPr>
              <w:spacing w:line="240" w:lineRule="auto"/>
              <w:ind w:left="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2C6926" w:rsidRDefault="00040DDF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C69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040DDF" w:rsidRPr="0008723B" w:rsidTr="0049560A">
        <w:trPr>
          <w:trHeight w:val="3075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2" w:name="_30j0zll"/>
            <w:bookmarkEnd w:id="2"/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2.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2: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07F9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Структура владних відносин</w:t>
            </w:r>
            <w:r w:rsidR="009616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14E8" w:rsidRDefault="00107F9E" w:rsidP="0096169D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механізм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  <w:p w:rsidR="00107F9E" w:rsidRDefault="00107F9E" w:rsidP="0096169D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самоврядування</w:t>
            </w:r>
            <w:proofErr w:type="spellEnd"/>
          </w:p>
          <w:p w:rsidR="00107F9E" w:rsidRPr="007D2250" w:rsidRDefault="00107F9E" w:rsidP="0096169D">
            <w:pPr>
              <w:numPr>
                <w:ilvl w:val="0"/>
                <w:numId w:val="2"/>
              </w:numPr>
              <w:spacing w:line="240" w:lineRule="auto"/>
              <w:ind w:left="61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вертикалі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їхнє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3A1CE4">
        <w:trPr>
          <w:trHeight w:val="226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3.</w:t>
            </w:r>
          </w:p>
          <w:p w:rsidR="00040DDF" w:rsidRPr="0008723B" w:rsidRDefault="00843E4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EC2C1A" w:rsidRDefault="0096169D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3. </w:t>
            </w:r>
            <w:proofErr w:type="spellStart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Основні</w:t>
            </w:r>
            <w:proofErr w:type="spellEnd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завдання</w:t>
            </w:r>
            <w:proofErr w:type="spellEnd"/>
            <w:r w:rsidR="00874D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874D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функції</w:t>
            </w:r>
            <w:proofErr w:type="spellEnd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  <w:r w:rsidR="00EC2C1A" w:rsidRPr="00874D8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-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менеджменту</w:t>
            </w:r>
          </w:p>
          <w:p w:rsidR="00040DDF" w:rsidRPr="00107F9E" w:rsidRDefault="00107F9E" w:rsidP="0096169D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Основні принципи формування завдань</w:t>
            </w:r>
            <w:r w:rsidR="0087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діяльності</w:t>
            </w:r>
            <w:r w:rsidRPr="00107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7F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874D86" w:rsidRDefault="00107F9E" w:rsidP="00874D86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07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Коротко-</w:t>
            </w:r>
            <w:proofErr w:type="spellEnd"/>
            <w:r w:rsidRPr="00107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довгострокові перспективи у </w:t>
            </w:r>
            <w:r w:rsidRPr="00107F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Pr="00107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-діяльності</w:t>
            </w:r>
            <w:proofErr w:type="spellEnd"/>
          </w:p>
          <w:p w:rsidR="00874D86" w:rsidRPr="00874D86" w:rsidRDefault="00874D86" w:rsidP="00874D86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74D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Функції GR-менеджменту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4</w:t>
            </w:r>
            <w:r w:rsidR="00693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- 5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96169D" w:rsidRDefault="0096169D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4.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Основи проектного менеджменту та його використання у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</w:p>
          <w:p w:rsidR="00C84FBE" w:rsidRPr="00107F9E" w:rsidRDefault="00107F9E" w:rsidP="0096169D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Проектний менеджмент як система мислення та управління</w:t>
            </w:r>
          </w:p>
          <w:p w:rsidR="00107F9E" w:rsidRPr="00107F9E" w:rsidRDefault="00107F9E" w:rsidP="0096169D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Основи</w:t>
            </w:r>
            <w:proofErr w:type="spellEnd"/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стратегування</w:t>
            </w:r>
            <w:proofErr w:type="spellEnd"/>
          </w:p>
          <w:p w:rsidR="00107F9E" w:rsidRPr="00C84FBE" w:rsidRDefault="00107F9E" w:rsidP="0096169D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proofErr w:type="spellStart"/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Механізми</w:t>
            </w:r>
            <w:proofErr w:type="spellEnd"/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107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проектами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843E4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5. </w:t>
            </w:r>
            <w:r w:rsid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Моделі </w:t>
            </w:r>
            <w:r w:rsidR="00942F9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взаємодії  влади, бізнесу та громадськості</w:t>
            </w:r>
          </w:p>
          <w:p w:rsidR="00000000" w:rsidRPr="00942F95" w:rsidRDefault="00942F95" w:rsidP="00942F95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432285" w:rsidRPr="00942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роактивна</w:t>
            </w:r>
            <w:proofErr w:type="spellEnd"/>
            <w:r w:rsidR="00432285" w:rsidRPr="00942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модель;</w:t>
            </w:r>
          </w:p>
          <w:p w:rsidR="00000000" w:rsidRPr="00942F95" w:rsidRDefault="00942F95" w:rsidP="00942F95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432285" w:rsidRPr="00942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еактивна модель;</w:t>
            </w:r>
          </w:p>
          <w:p w:rsidR="00000000" w:rsidRPr="00942F95" w:rsidRDefault="00942F95" w:rsidP="00942F95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r w:rsidR="00432285" w:rsidRPr="00942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нституційна (корпоративна) модель;</w:t>
            </w:r>
          </w:p>
          <w:p w:rsidR="00000000" w:rsidRPr="00942F95" w:rsidRDefault="00942F95" w:rsidP="00942F95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32285" w:rsidRPr="00942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уб'єктно-асоційована модель;</w:t>
            </w:r>
          </w:p>
          <w:p w:rsidR="00000000" w:rsidRPr="00942F95" w:rsidRDefault="00942F95" w:rsidP="00942F95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432285" w:rsidRPr="00942F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аціональна модель.</w:t>
            </w:r>
          </w:p>
          <w:p w:rsidR="00874D86" w:rsidRPr="004916AF" w:rsidRDefault="00874D86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CF49B7">
        <w:trPr>
          <w:trHeight w:val="283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6937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  <w:r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843E4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6. </w:t>
            </w:r>
            <w:r w:rsid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Інструменти </w:t>
            </w:r>
            <w:r w:rsid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-менеджменту</w:t>
            </w:r>
            <w:proofErr w:type="spellEnd"/>
          </w:p>
          <w:p w:rsidR="00874D86" w:rsidRPr="00C14119" w:rsidRDefault="00040DDF" w:rsidP="00874D86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874D86" w:rsidRPr="00C1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 та загрози особистих взаємодій із владними структурами</w:t>
            </w:r>
          </w:p>
          <w:p w:rsidR="00942F95" w:rsidRPr="00C14119" w:rsidRDefault="00942F95" w:rsidP="00874D86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Аналіз та прогнозування</w:t>
            </w:r>
          </w:p>
          <w:p w:rsidR="00CF49B7" w:rsidRPr="00C14119" w:rsidRDefault="00874D86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Адвокація</w:t>
            </w:r>
            <w:proofErr w:type="spellEnd"/>
            <w:r w:rsidRPr="00C1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лобіювання</w:t>
            </w:r>
          </w:p>
          <w:p w:rsidR="00874D86" w:rsidRPr="00CF49B7" w:rsidRDefault="00942F95" w:rsidP="00972544">
            <w:pPr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1411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C141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C14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кампанії, як система всіх необхідних для реалізації мети інструментів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5079C0">
        <w:trPr>
          <w:trHeight w:val="2817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8</w:t>
            </w:r>
            <w:r w:rsidR="009616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EC2C1A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EC2C1A" w:rsidRDefault="00040DDF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7.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Моделі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-менеджменту</w:t>
            </w:r>
            <w:proofErr w:type="spellEnd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із органами державної влади</w:t>
            </w:r>
            <w:r w:rsidR="00EC2C1A" w:rsidRP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C141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та місцевого самоврядування</w:t>
            </w:r>
          </w:p>
          <w:p w:rsidR="005079C0" w:rsidRDefault="00C14119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Особливості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сфері державної влади.</w:t>
            </w:r>
          </w:p>
          <w:p w:rsidR="00C14119" w:rsidRPr="00C14119" w:rsidRDefault="00C14119" w:rsidP="00C14119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Особливості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із органами місцевого самоврядування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</w:t>
            </w:r>
            <w:r w:rsidR="00C14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льне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EC2C1A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9-10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EC2C1A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040DDF" w:rsidP="00C1411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</w:t>
            </w:r>
            <w:r w:rsidRPr="000872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96169D" w:rsidRP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8</w:t>
            </w:r>
            <w:r w:rsid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proofErr w:type="spellStart"/>
            <w:r w:rsidR="00EC2C1A" w:rsidRP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Адвокація</w:t>
            </w:r>
            <w:proofErr w:type="spellEnd"/>
            <w:r w:rsidR="00EC2C1A" w:rsidRP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та лобіювання основні інструменти</w:t>
            </w:r>
            <w:r w:rsidR="00EC2C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-менеджменту</w:t>
            </w:r>
            <w:proofErr w:type="spellEnd"/>
          </w:p>
          <w:p w:rsidR="00C14119" w:rsidRPr="00C14119" w:rsidRDefault="00C14119" w:rsidP="00C14119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Сутність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адвокації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лобіювання, їхні ключові відмінності</w:t>
            </w:r>
          </w:p>
          <w:p w:rsidR="00C14119" w:rsidRPr="00C14119" w:rsidRDefault="00C14119" w:rsidP="00C14119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Взаємозалежність використання даних інструментів відмети діяльності</w:t>
            </w:r>
          </w:p>
          <w:p w:rsidR="00C14119" w:rsidRPr="00C14119" w:rsidRDefault="00C14119" w:rsidP="00C14119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 та моделі поєднання інструментів для реалізації поставлених цілей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11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843E4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DF566F" w:rsidRDefault="0096169D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proofErr w:type="spellStart"/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Взаємодія</w:t>
            </w:r>
            <w:proofErr w:type="spellEnd"/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GR</w:t>
            </w:r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та </w:t>
            </w:r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PR</w:t>
            </w:r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 інструменті</w:t>
            </w:r>
            <w:proofErr w:type="gramStart"/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DF566F" w:rsidRDefault="00DF566F" w:rsidP="00DF566F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Особливості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менеджменту</w:t>
            </w:r>
          </w:p>
          <w:p w:rsidR="00DF566F" w:rsidRDefault="00DF566F" w:rsidP="00DF566F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Основні PR- інструменти</w:t>
            </w:r>
          </w:p>
          <w:p w:rsidR="00DF566F" w:rsidRPr="00DF566F" w:rsidRDefault="00DF566F" w:rsidP="00DF566F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5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Моделі взаємодії GR та PR- інструментів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843E44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339" w:rsidRDefault="0096169D" w:rsidP="006D5B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</w:t>
            </w:r>
            <w:r w:rsidRP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</w:t>
            </w:r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Основні принципи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="00EC2C1A" w:rsidRP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взаємодії</w:t>
            </w:r>
            <w:proofErr w:type="spellEnd"/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 публічній політиці</w:t>
            </w:r>
          </w:p>
          <w:p w:rsidR="006D5BC2" w:rsidRDefault="006D5BC2" w:rsidP="006D5BC2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Явище публічної політики та вплив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її формування</w:t>
            </w:r>
          </w:p>
          <w:p w:rsidR="006D5BC2" w:rsidRPr="006D5BC2" w:rsidRDefault="006D5BC2" w:rsidP="006D5BC2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Вплив публічної політики на формування суспільного порядку денного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984723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13</w:t>
            </w:r>
            <w:r w:rsidR="00312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-14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31299B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DF566F" w:rsidRDefault="0096169D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</w:t>
            </w:r>
            <w:r w:rsidRPr="009616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1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Принципи ведення </w:t>
            </w:r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GR-</w:t>
            </w:r>
            <w:r w:rsid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кампаній</w:t>
            </w:r>
          </w:p>
          <w:p w:rsidR="003025EC" w:rsidRPr="006D5BC2" w:rsidRDefault="006D5BC2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кампанії як система використання інструментів та як 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6D5BC2" w:rsidRPr="006D5BC2" w:rsidRDefault="006D5BC2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планування 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кампаній</w:t>
            </w:r>
          </w:p>
          <w:p w:rsidR="006D5BC2" w:rsidRPr="006D5BC2" w:rsidRDefault="006D5BC2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Управління 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6D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кампаніями а управління ризиками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A02F7B">
        <w:trPr>
          <w:trHeight w:val="112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31299B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15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31299B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EC2C1A" w:rsidRDefault="00EC2C1A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="0096169D" w:rsidRP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12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6D5BC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Особливості законодавства</w:t>
            </w:r>
            <w:r w:rsidRP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України у сфері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</w:p>
          <w:p w:rsidR="00A02F7B" w:rsidRPr="008566A3" w:rsidRDefault="006D5BC2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Нормативно-</w:t>
            </w:r>
            <w:proofErr w:type="spellStart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правова</w:t>
            </w:r>
            <w:proofErr w:type="spellEnd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база </w:t>
            </w:r>
            <w:proofErr w:type="spellStart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-менеджерів</w:t>
            </w:r>
            <w:proofErr w:type="spellEnd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ітова практика</w:t>
            </w:r>
          </w:p>
          <w:p w:rsidR="006D5BC2" w:rsidRPr="008566A3" w:rsidRDefault="006D5BC2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Особливості українського законодавства у сфері </w:t>
            </w:r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6D5BC2" w:rsidRPr="00A02F7B" w:rsidRDefault="006D5BC2" w:rsidP="00972544">
            <w:pPr>
              <w:pStyle w:val="a4"/>
              <w:widowControl w:val="0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Недоліки та можливості законного регулювання </w:t>
            </w:r>
            <w:r w:rsidRPr="008566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D5BC2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040DDF" w:rsidRPr="0008723B" w:rsidTr="00040DDF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693741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 16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040DDF" w:rsidRPr="0008723B" w:rsidRDefault="0056743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96169D" w:rsidP="0097254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</w:t>
            </w:r>
            <w:r w:rsidRP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4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040DDF" w:rsidRPr="000872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Перспективи розвитку 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GR</w:t>
            </w:r>
            <w:r w:rsidR="00EC2C1A" w:rsidRPr="00DF566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-</w:t>
            </w:r>
            <w:r w:rsidR="00EC2C1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менеджменту в Україні</w:t>
            </w:r>
          </w:p>
          <w:p w:rsidR="00040DDF" w:rsidRDefault="008566A3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Сучасний стан розвитку професії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Україні</w:t>
            </w:r>
          </w:p>
          <w:p w:rsidR="008566A3" w:rsidRDefault="008566A3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Ризики ведення 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Україні</w:t>
            </w:r>
          </w:p>
          <w:p w:rsidR="008566A3" w:rsidRPr="008566A3" w:rsidRDefault="008566A3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Перспективи законного врегулювання сфери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</w:p>
          <w:p w:rsidR="008566A3" w:rsidRPr="00867CE9" w:rsidRDefault="008566A3" w:rsidP="00972544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Перспективи розвитку професії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-менеджера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Україні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r w:rsidR="00312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дискусія</w:t>
            </w: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926" w:rsidRPr="002C6926" w:rsidRDefault="002C6926" w:rsidP="002C69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87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13 </w:t>
            </w:r>
          </w:p>
          <w:p w:rsidR="00040DDF" w:rsidRPr="0008723B" w:rsidRDefault="00040DDF" w:rsidP="009725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DF" w:rsidRPr="0008723B" w:rsidRDefault="00040DDF" w:rsidP="00972544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3462CB" w:rsidRDefault="003462CB"/>
    <w:p w:rsidR="0086778E" w:rsidRDefault="0086778E"/>
    <w:sectPr w:rsidR="0086778E" w:rsidSect="00D50A4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795"/>
    <w:multiLevelType w:val="hybridMultilevel"/>
    <w:tmpl w:val="B5622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6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522E9E"/>
    <w:multiLevelType w:val="hybridMultilevel"/>
    <w:tmpl w:val="2604E584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125A22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5F2B"/>
    <w:multiLevelType w:val="hybridMultilevel"/>
    <w:tmpl w:val="90161A34"/>
    <w:lvl w:ilvl="0" w:tplc="7EAC12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4F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0E7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012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B08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3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C1C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84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49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281B75"/>
    <w:multiLevelType w:val="hybridMultilevel"/>
    <w:tmpl w:val="F756248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1B2AF6"/>
    <w:multiLevelType w:val="hybridMultilevel"/>
    <w:tmpl w:val="D73811BA"/>
    <w:lvl w:ilvl="0" w:tplc="042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6B2B"/>
    <w:multiLevelType w:val="hybridMultilevel"/>
    <w:tmpl w:val="EE96B5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1020E96">
      <w:numFmt w:val="bullet"/>
      <w:lvlText w:val="-"/>
      <w:lvlJc w:val="left"/>
      <w:pPr>
        <w:ind w:left="2434" w:hanging="645"/>
      </w:pPr>
      <w:rPr>
        <w:rFonts w:ascii="Times New Roman" w:eastAsia="Arial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1D3558"/>
    <w:multiLevelType w:val="hybridMultilevel"/>
    <w:tmpl w:val="494EC3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47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9D31B4"/>
    <w:multiLevelType w:val="hybridMultilevel"/>
    <w:tmpl w:val="171601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5A6576E"/>
    <w:multiLevelType w:val="hybridMultilevel"/>
    <w:tmpl w:val="B51A1536"/>
    <w:lvl w:ilvl="0" w:tplc="042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6872243C"/>
    <w:multiLevelType w:val="multilevel"/>
    <w:tmpl w:val="7FC4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9604A7C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2F"/>
    <w:rsid w:val="00013DFE"/>
    <w:rsid w:val="00023CF9"/>
    <w:rsid w:val="00040DDF"/>
    <w:rsid w:val="00043373"/>
    <w:rsid w:val="0004453B"/>
    <w:rsid w:val="00060F3D"/>
    <w:rsid w:val="00063D69"/>
    <w:rsid w:val="000836BC"/>
    <w:rsid w:val="0008723B"/>
    <w:rsid w:val="000A0A38"/>
    <w:rsid w:val="000D3006"/>
    <w:rsid w:val="000D5EC0"/>
    <w:rsid w:val="000E7DEB"/>
    <w:rsid w:val="000F5A32"/>
    <w:rsid w:val="00107F9E"/>
    <w:rsid w:val="00172525"/>
    <w:rsid w:val="00180629"/>
    <w:rsid w:val="00182462"/>
    <w:rsid w:val="0018651D"/>
    <w:rsid w:val="00197692"/>
    <w:rsid w:val="001F0224"/>
    <w:rsid w:val="00210F65"/>
    <w:rsid w:val="00246936"/>
    <w:rsid w:val="00294BB8"/>
    <w:rsid w:val="002A00CB"/>
    <w:rsid w:val="002C05AF"/>
    <w:rsid w:val="002C6926"/>
    <w:rsid w:val="002F3F54"/>
    <w:rsid w:val="003025EC"/>
    <w:rsid w:val="003122BE"/>
    <w:rsid w:val="0031299B"/>
    <w:rsid w:val="00315A30"/>
    <w:rsid w:val="003256CA"/>
    <w:rsid w:val="00332542"/>
    <w:rsid w:val="003462CB"/>
    <w:rsid w:val="00352E60"/>
    <w:rsid w:val="003A1CE4"/>
    <w:rsid w:val="00432285"/>
    <w:rsid w:val="00481235"/>
    <w:rsid w:val="00481B5D"/>
    <w:rsid w:val="004916AF"/>
    <w:rsid w:val="0049560A"/>
    <w:rsid w:val="004B2919"/>
    <w:rsid w:val="004D3C5D"/>
    <w:rsid w:val="004E4867"/>
    <w:rsid w:val="005079C0"/>
    <w:rsid w:val="0056743F"/>
    <w:rsid w:val="005753D1"/>
    <w:rsid w:val="005A31C4"/>
    <w:rsid w:val="005B1297"/>
    <w:rsid w:val="005C0BD0"/>
    <w:rsid w:val="005C102B"/>
    <w:rsid w:val="005E0D2C"/>
    <w:rsid w:val="00641821"/>
    <w:rsid w:val="00693741"/>
    <w:rsid w:val="006D5BC2"/>
    <w:rsid w:val="006F5A5D"/>
    <w:rsid w:val="0072727D"/>
    <w:rsid w:val="00730794"/>
    <w:rsid w:val="00742769"/>
    <w:rsid w:val="00765B67"/>
    <w:rsid w:val="007B0306"/>
    <w:rsid w:val="007C0339"/>
    <w:rsid w:val="007D2250"/>
    <w:rsid w:val="007F00D6"/>
    <w:rsid w:val="00821A16"/>
    <w:rsid w:val="008265FB"/>
    <w:rsid w:val="00843E44"/>
    <w:rsid w:val="0084473F"/>
    <w:rsid w:val="008566A3"/>
    <w:rsid w:val="00864887"/>
    <w:rsid w:val="0086778E"/>
    <w:rsid w:val="00867CE9"/>
    <w:rsid w:val="008746FB"/>
    <w:rsid w:val="00874D86"/>
    <w:rsid w:val="008C0750"/>
    <w:rsid w:val="008E3743"/>
    <w:rsid w:val="009314E8"/>
    <w:rsid w:val="00942F95"/>
    <w:rsid w:val="00954B13"/>
    <w:rsid w:val="0096169D"/>
    <w:rsid w:val="0096292F"/>
    <w:rsid w:val="00972544"/>
    <w:rsid w:val="00984723"/>
    <w:rsid w:val="009A6E11"/>
    <w:rsid w:val="009F0C13"/>
    <w:rsid w:val="009F1639"/>
    <w:rsid w:val="00A02F7B"/>
    <w:rsid w:val="00A23AF7"/>
    <w:rsid w:val="00A332B5"/>
    <w:rsid w:val="00A41B91"/>
    <w:rsid w:val="00A57A71"/>
    <w:rsid w:val="00AA0F18"/>
    <w:rsid w:val="00AA2836"/>
    <w:rsid w:val="00AB3818"/>
    <w:rsid w:val="00AC7D02"/>
    <w:rsid w:val="00B00C57"/>
    <w:rsid w:val="00B54CC8"/>
    <w:rsid w:val="00B97E22"/>
    <w:rsid w:val="00BC47B6"/>
    <w:rsid w:val="00C14119"/>
    <w:rsid w:val="00C400C1"/>
    <w:rsid w:val="00C4529D"/>
    <w:rsid w:val="00C626B8"/>
    <w:rsid w:val="00C84FBE"/>
    <w:rsid w:val="00CB790D"/>
    <w:rsid w:val="00CD3871"/>
    <w:rsid w:val="00CE2A61"/>
    <w:rsid w:val="00CE7941"/>
    <w:rsid w:val="00CF3635"/>
    <w:rsid w:val="00CF49B7"/>
    <w:rsid w:val="00D31ED7"/>
    <w:rsid w:val="00D50A4A"/>
    <w:rsid w:val="00D51865"/>
    <w:rsid w:val="00D73779"/>
    <w:rsid w:val="00D92056"/>
    <w:rsid w:val="00DA4361"/>
    <w:rsid w:val="00DB77F2"/>
    <w:rsid w:val="00DE14EC"/>
    <w:rsid w:val="00DF566F"/>
    <w:rsid w:val="00EA125F"/>
    <w:rsid w:val="00EB0DD2"/>
    <w:rsid w:val="00EC2C1A"/>
    <w:rsid w:val="00EC58D3"/>
    <w:rsid w:val="00EC6FEB"/>
    <w:rsid w:val="00EF18F3"/>
    <w:rsid w:val="00F97814"/>
    <w:rsid w:val="00FC7CC1"/>
    <w:rsid w:val="00FE49D6"/>
    <w:rsid w:val="00FE7946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9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29D"/>
    <w:pPr>
      <w:ind w:left="720"/>
      <w:contextualSpacing/>
    </w:pPr>
  </w:style>
  <w:style w:type="paragraph" w:styleId="a5">
    <w:name w:val="Body Text"/>
    <w:basedOn w:val="a"/>
    <w:link w:val="a6"/>
    <w:rsid w:val="00DB77F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ий текст Знак"/>
    <w:basedOn w:val="a0"/>
    <w:link w:val="a5"/>
    <w:rsid w:val="00DB77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8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36BC"/>
    <w:rPr>
      <w:rFonts w:ascii="Tahoma" w:eastAsia="Arial" w:hAnsi="Tahoma" w:cs="Tahoma"/>
      <w:sz w:val="16"/>
      <w:szCs w:val="16"/>
      <w:lang w:eastAsia="uk-UA"/>
    </w:rPr>
  </w:style>
  <w:style w:type="character" w:customStyle="1" w:styleId="contribdegrees">
    <w:name w:val="contribdegrees"/>
    <w:basedOn w:val="a0"/>
    <w:rsid w:val="009F0C13"/>
  </w:style>
  <w:style w:type="character" w:customStyle="1" w:styleId="overlay">
    <w:name w:val="overlay"/>
    <w:basedOn w:val="a0"/>
    <w:rsid w:val="009F0C13"/>
  </w:style>
  <w:style w:type="character" w:customStyle="1" w:styleId="heading">
    <w:name w:val="heading"/>
    <w:basedOn w:val="a0"/>
    <w:rsid w:val="009F0C13"/>
  </w:style>
  <w:style w:type="character" w:customStyle="1" w:styleId="corr-email">
    <w:name w:val="corr-email"/>
    <w:basedOn w:val="a0"/>
    <w:rsid w:val="009F0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9D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2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29D"/>
    <w:pPr>
      <w:ind w:left="720"/>
      <w:contextualSpacing/>
    </w:pPr>
  </w:style>
  <w:style w:type="paragraph" w:styleId="a5">
    <w:name w:val="Body Text"/>
    <w:basedOn w:val="a"/>
    <w:link w:val="a6"/>
    <w:rsid w:val="00DB77F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ий текст Знак"/>
    <w:basedOn w:val="a0"/>
    <w:link w:val="a5"/>
    <w:rsid w:val="00DB77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83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36BC"/>
    <w:rPr>
      <w:rFonts w:ascii="Tahoma" w:eastAsia="Arial" w:hAnsi="Tahoma" w:cs="Tahoma"/>
      <w:sz w:val="16"/>
      <w:szCs w:val="16"/>
      <w:lang w:eastAsia="uk-UA"/>
    </w:rPr>
  </w:style>
  <w:style w:type="character" w:customStyle="1" w:styleId="contribdegrees">
    <w:name w:val="contribdegrees"/>
    <w:basedOn w:val="a0"/>
    <w:rsid w:val="009F0C13"/>
  </w:style>
  <w:style w:type="character" w:customStyle="1" w:styleId="overlay">
    <w:name w:val="overlay"/>
    <w:basedOn w:val="a0"/>
    <w:rsid w:val="009F0C13"/>
  </w:style>
  <w:style w:type="character" w:customStyle="1" w:styleId="heading">
    <w:name w:val="heading"/>
    <w:basedOn w:val="a0"/>
    <w:rsid w:val="009F0C13"/>
  </w:style>
  <w:style w:type="character" w:customStyle="1" w:styleId="corr-email">
    <w:name w:val="corr-email"/>
    <w:basedOn w:val="a0"/>
    <w:rsid w:val="009F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2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7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handle/123456789/59778" TargetMode="External"/><Relationship Id="rId13" Type="http://schemas.openxmlformats.org/officeDocument/2006/relationships/hyperlink" Target="https://doi.org/10.1177%2F00076503052753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lyna.ilenkiv@gmail.com" TargetMode="External"/><Relationship Id="rId12" Type="http://schemas.openxmlformats.org/officeDocument/2006/relationships/hyperlink" Target="https://books.google.com.ua/books?id=IHpKgV2wkTMC&amp;lpg=PR8&amp;ots=qNJANNJf4x&amp;dq=government%20relations%20management%20&amp;lr&amp;hl=uk&amp;pg=PR4#v=onepage&amp;q=government%20relations%20management&amp;f=fal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4324/97804294635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ndfonline.com/author/Furneaux%2C+Crai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02/nml.10403" TargetMode="External"/><Relationship Id="rId10" Type="http://schemas.openxmlformats.org/officeDocument/2006/relationships/hyperlink" Target="http://194.44.152.155/elib/local/sk75639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wunu.edu.ua/files/EVD/kl_proekt_men_trillinberg.pdf" TargetMode="External"/><Relationship Id="rId14" Type="http://schemas.openxmlformats.org/officeDocument/2006/relationships/hyperlink" Target="https://onlinelibrary.wiley.com/action/doSearch?ContribAuthorRaw=Najam%2C+Ad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07FF-2E48-4D70-B689-82BC4DFD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10</Pages>
  <Words>8403</Words>
  <Characters>4790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joido</dc:creator>
  <cp:lastModifiedBy>Super</cp:lastModifiedBy>
  <cp:revision>35</cp:revision>
  <dcterms:created xsi:type="dcterms:W3CDTF">2022-02-13T10:27:00Z</dcterms:created>
  <dcterms:modified xsi:type="dcterms:W3CDTF">2022-02-14T08:33:00Z</dcterms:modified>
</cp:coreProperties>
</file>