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філософський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теорії та історії культури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Затверджено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засіданні кафедри теорії та історії культури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філософського факультету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Львівського національного університету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імені Івана Франка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(протокол №1 від 31 серпня 2021 р.)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авідувач кафедри _________________ проф.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льчук М.</w:t>
      </w:r>
      <w:r w:rsidDel="00000000" w:rsidR="00000000" w:rsidRPr="00000000">
        <w:rPr>
          <w:b w:val="1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з навчальної дисципліни «Історія української культури»,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що викладається в межах ОПП першого (бакалаврського)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рівня вищої освіти для здобувачів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зі спеціальност</w:t>
      </w:r>
      <w:r w:rsidDel="00000000" w:rsidR="00000000" w:rsidRPr="00000000">
        <w:rPr>
          <w:b w:val="1"/>
          <w:sz w:val="24"/>
          <w:szCs w:val="24"/>
          <w:rtl w:val="0"/>
        </w:rPr>
        <w:t xml:space="preserve">і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075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«Мар</w:t>
      </w:r>
      <w:r w:rsidDel="00000000" w:rsidR="00000000" w:rsidRPr="00000000">
        <w:rPr>
          <w:sz w:val="24"/>
          <w:szCs w:val="24"/>
          <w:rtl w:val="0"/>
        </w:rPr>
        <w:t xml:space="preserve">кетинг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  <w:br w:type="textWrapping"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Львів 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Силабус курсу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Історія української культури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65.0" w:type="dxa"/>
        <w:jc w:val="left"/>
        <w:tblInd w:w="-34.0" w:type="dxa"/>
        <w:tblLayout w:type="fixed"/>
        <w:tblLook w:val="0000"/>
      </w:tblPr>
      <w:tblGrid>
        <w:gridCol w:w="2351"/>
        <w:gridCol w:w="12200"/>
        <w:gridCol w:w="14"/>
        <w:tblGridChange w:id="0">
          <w:tblGrid>
            <w:gridCol w:w="2351"/>
            <w:gridCol w:w="12200"/>
            <w:gridCol w:w="14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Історія української культури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Проспект Свободи, 18,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Львів.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Філософський факультет, кафедра теорії та історії культури.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07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Управління та адмініструванням, 075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Маркетинг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Довгань Марія Григорівна, кандидат філософських наук</w:t>
            </w:r>
          </w:p>
        </w:tc>
      </w:tr>
      <w:tr>
        <w:trPr>
          <w:cantSplit w:val="0"/>
          <w:trHeight w:val="8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mariya.kokhanovska@lnu.edu.ua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по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Консультації відбуваються через електронну пошту, Viber, Zoom.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https://filos.lnu.edu.ua/department/teoriji-ta-istoriji-kultury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Дисципліна «Історія української культури» викладається в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семестрі в обсязі 3 кредитів (90 годин) (за Європейською Кредитно-Трансферною Системою ECTS).</w:t>
            </w:r>
          </w:p>
        </w:tc>
      </w:tr>
      <w:tr>
        <w:trPr>
          <w:cantSplit w:val="0"/>
          <w:trHeight w:val="11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 покликаний надати студентам/студенткам знання, сформувати вміння та навички, що стосуються історії української культури, визначення цінностей та особливостей української культури, її взаємодії з іншими культурами. Курс передбачає акцент на розвитку критичного мислення, дослідницькій роботі, аргументації власної позиції, розвитку особистісних зацікавлень студентів.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 – здобуття студентами знань, вмінь та навичок для аналізу культурних процесів в Україні, їх впливу на особистісне, національне та міжнародне життя.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Цілі:</w:t>
              <w:br w:type="textWrapping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ознайомити із культурними епохами в Україні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представити основні здобутки духовної та матеріальної культури України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розкрити значення міжкультурної комунікації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навчити аналізувати культурну динаміку українського суспільства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сформувати вміння аналізу соціокультурного дискурсу сучасності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розвинути вміння обґрунтованого та толерантного відстоювання власної позиції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виявити вплив громадянської позиції та системи цінностей на розвиток суспільства</w:t>
            </w:r>
          </w:p>
        </w:tc>
      </w:tr>
      <w:tr>
        <w:trPr>
          <w:cantSplit w:val="0"/>
          <w:trHeight w:val="70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127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Основна: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Павлова О., Мельничук Т. Історія української культури. Київ: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Центр учбової літератури,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2019. 319 с.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Лекції з історії світової та вітчизняної культури: навч. посіб / ред. А. В. Яртись, В. П. Мельник. Львів: Світ, 2005.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568 с.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Сінькевич О. Б. Соціальні практики масової культури : ідентифікаційний дискурс : монографія / О. Б. Сінькевич; Львівський національний університет імені Івана Франка. – Львів: Львівський національний університет імені Івана Франка, 2015. – 359 с.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Додаткова: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Васіна З. Український літопис вбрання XIII–поч. XX ст. К.: Мистецтво, 2006. 448 с.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Власто А. Запровадження християнства у слов’ян: Вступ до середньовічної історії слов’янства. Київ: Юніверс, 2004. 496 с.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 Ф. Студії з української етнографії та антропології: нова редакція. Харків: Видавець Савчук О. О., 2015. 464 с.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хочуть. Київ: Т-во «Знання», 1991. 240 с.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Дарморіз О. В. Міфологія: навчальний посібник. Львів: Львівський національний університет імені Івана Франка, 2010. 247 с.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Економічні, соціальні й культурні права / ред. А. Ейде, К. Краузе, А Розаса. Одеса: АО Бахва, 2006. 728 с.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Замки та фортеці: альбом / упоряд. Л. Прибєги. Київ: Мистецтво, 2007. 352 с.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автор і упоряд. текстів М. Ткач; упоряд. Н. Павленко. Київ: Вета–Прес, 2007. 124 с.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мистецтва: українська теоретична думка XX століття: антологія. Ч. 1. Ч. 2 / упор. Р. М. Яців. Львів: Львівська національна академія мистецтв, 2012.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світової та української культури: підручник / В. Греченко, І. Чорний, В. Кушнерук, В. Режко. Київ: Літера, 2000. 464 с.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баченнях: монографія. Київ; Львів: Видавничий центр ЛНУ імені Івана Франка, 2003. 520 с.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Культурологія: енциклопедичний словник / М. П. Альчук, Ф. С. Бацевич, І. М. Бойко; ред. В. П. Мельник. Львів: Львівський національний університет імені Івана Франка, 2013. 508 с.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популярна: теорії та практики. Київ: Україна, 2007. 123 с.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української діаспори: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Київ: Тріумф, 1998. 382 с.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Мусієнко О. С. Українське кіно: тексти і контекст. Вінниця: Глобус–Прес, 2009. 415 с.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Сінькевич О. Б. Соціальні практики масової культури: ідентифікаційний дискурс: монографія. Львів: Львівський національний університет імені Івана Франка, 2015. 359 с.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ідентичність: феномен і засади формування: монографія. Київ: НІСД, 2011. 336 с.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мистецтво у полікультурному просторі: навч. посіб. / ред. О. П. Рудницька. Київ: ЕксОб, 2000. 205 с.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образотворче мистецтво: імена, життєписи, твори (XI–XXI ст.) / ред. Р. М. Яців та ін. Харків: Факт, 2012. 720 с.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Українські митці у світі: матеріали до історії українського мистецтва ХХ століття / автор–упор. Г. Стельмащук. Львів: Апріорі, 2013. 516 с.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Черкес Б. Національна ідентичність в архітектурі міста. Львів: Львівська політехніка, 2008. 266 с.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Тривалість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семестр.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кредити (90 годин): 32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год. ауд. (16 год. лек., 16 год. практ.) та 58 год. самостійної роботи. </w:t>
            </w:r>
          </w:p>
        </w:tc>
      </w:tr>
      <w:tr>
        <w:trPr>
          <w:cantSplit w:val="0"/>
          <w:trHeight w:val="3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результаті вивчення навчальної дисципліни студент повинен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мистецьких стилів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періодизацію та особливості культурних епох в Україні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видатних українців та їх внесок в українську та світову спадщину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визначні пам’ятки духовної та матеріальної культури України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ментальності українського народу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вміти: </w:t>
              <w:br w:type="textWrapping"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визначати стилі пам’яток культури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досліджувати взаємозв’язок між розвитком культури та держави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аналізувати культурні та суспільно-політичні явища сучасної України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виявляти культурні цінності та явища антикультури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визначати сфери можливого особистого заангажування у розвиток української культури відповідно до професійної кваліфікації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культури, ренесанс, бароко, мистецтво, скульптура, кіно, графіка, література.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інформацію у таблиці.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вивчення курсу студенти потребують базових знань із соціо-гуманітарних дисциплін.</w:t>
            </w:r>
          </w:p>
        </w:tc>
      </w:tr>
      <w:tr>
        <w:trPr>
          <w:cantSplit w:val="0"/>
          <w:trHeight w:val="17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Словесні, наочні, практичні, пояснювально-ілюстративний метод, дослідницький.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Проектор, ноутбук. </w:t>
            </w:r>
          </w:p>
        </w:tc>
      </w:tr>
      <w:tr>
        <w:trPr>
          <w:cantSplit w:val="0"/>
          <w:trHeight w:val="13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Жодні форми академічної недоброчесності не толеруються.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Максимум – 100 балів:</w:t>
            </w:r>
          </w:p>
          <w:tbl>
            <w:tblPr>
              <w:tblStyle w:val="Table2"/>
              <w:tblW w:w="1196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09"/>
              <w:gridCol w:w="802"/>
              <w:gridCol w:w="689"/>
              <w:gridCol w:w="804"/>
              <w:gridCol w:w="689"/>
              <w:gridCol w:w="803"/>
              <w:gridCol w:w="918"/>
              <w:gridCol w:w="919"/>
              <w:gridCol w:w="1262"/>
              <w:gridCol w:w="1373"/>
              <w:gridCol w:w="2896"/>
              <w:tblGridChange w:id="0">
                <w:tblGrid>
                  <w:gridCol w:w="809"/>
                  <w:gridCol w:w="802"/>
                  <w:gridCol w:w="689"/>
                  <w:gridCol w:w="804"/>
                  <w:gridCol w:w="689"/>
                  <w:gridCol w:w="803"/>
                  <w:gridCol w:w="918"/>
                  <w:gridCol w:w="919"/>
                  <w:gridCol w:w="1262"/>
                  <w:gridCol w:w="1373"/>
                  <w:gridCol w:w="2896"/>
                </w:tblGrid>
              </w:tblGridChange>
            </w:tblGrid>
            <w:tr>
              <w:trPr>
                <w:cantSplit w:val="0"/>
                <w:trHeight w:val="745" w:hRule="atLeast"/>
                <w:tblHeader w:val="0"/>
              </w:trPr>
              <w:tc>
                <w:tcPr>
                  <w:gridSpan w:val="8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Поточне оцінювання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Два контролі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знань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Сума</w:t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0" w:hRule="atLeast"/>
                <w:tblHeader w:val="0"/>
              </w:trPr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№1</w:t>
                  </w:r>
                </w:p>
              </w:tc>
              <w:tc>
                <w:tcPr>
                  <w:gridSpan w:val="4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Змістовий модуль № 2</w:t>
                  </w:r>
                </w:p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rPr>
                <w:cantSplit w:val="0"/>
                <w:trHeight w:val="38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Т8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</w:p>
              </w:tc>
              <w:tc>
                <w:tcPr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17" w:hRule="atLeast"/>
                <w:tblHeader w:val="0"/>
              </w:trPr>
              <w:tc>
                <w:tcPr>
                  <w:gridSpan w:val="11"/>
                  <w:tcBorders>
                    <w:top w:color="000000" w:space="0" w:sz="4" w:val="single"/>
                    <w:left w:color="000000" w:space="0" w:sz="8" w:val="single"/>
                    <w:bottom w:color="000000" w:space="0" w:sz="4" w:val="single"/>
                    <w:right w:color="000000" w:space="0" w:sz="8" w:val="single"/>
                  </w:tcBorders>
                  <w:tcMar>
                    <w:top w:w="100.0" w:type="dxa"/>
                    <w:left w:w="120.0" w:type="dxa"/>
                    <w:bottom w:w="100.0" w:type="dxa"/>
                    <w:right w:w="12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          Шкала оцінювання: вузу, національна та ECTS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715.0" w:type="dxa"/>
                    <w:jc w:val="left"/>
                    <w:tblBorders>
                      <w:top w:color="000000" w:space="0" w:sz="4" w:val="single"/>
                      <w:left w:color="000000" w:space="0" w:sz="4" w:val="single"/>
                      <w:bottom w:color="000000" w:space="0" w:sz="4" w:val="single"/>
                      <w:right w:color="000000" w:space="0" w:sz="4" w:val="single"/>
                      <w:insideH w:color="000000" w:space="0" w:sz="4" w:val="single"/>
                      <w:insideV w:color="000000" w:space="0" w:sz="4" w:val="single"/>
                    </w:tblBorders>
                    <w:tblLayout w:type="fixed"/>
                    <w:tblLook w:val="0000"/>
                  </w:tblPr>
                  <w:tblGrid>
                    <w:gridCol w:w="2053"/>
                    <w:gridCol w:w="1264"/>
                    <w:gridCol w:w="740"/>
                    <w:gridCol w:w="2320"/>
                    <w:gridCol w:w="3338"/>
                    <w:tblGridChange w:id="0">
                      <w:tblGrid>
                        <w:gridCol w:w="2053"/>
                        <w:gridCol w:w="1264"/>
                        <w:gridCol w:w="740"/>
                        <w:gridCol w:w="2320"/>
                        <w:gridCol w:w="3338"/>
                      </w:tblGrid>
                    </w:tblGridChange>
                  </w:tblGrid>
                  <w:tr>
                    <w:trPr>
                      <w:cantSplit w:val="0"/>
                      <w:trHeight w:val="447" w:hRule="atLeast"/>
                      <w:tblHeader w:val="0"/>
                    </w:trPr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 ECTS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 в балах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3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C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 національною шкалою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63" w:hRule="atLeast"/>
                      <w:tblHeader w:val="0"/>
                    </w:trPr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gridSpan w:val="2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Оцінка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D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Залік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587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6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А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90 – 100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9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Відмінно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D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DB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DC">
                        <w:pPr>
                          <w:keepNext w:val="1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60" w:before="240" w:line="24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Зараховано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199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В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81-89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D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4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0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Дуже добре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23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2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С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3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71-80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4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5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Добре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6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7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D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8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61-70</w:t>
                        </w:r>
                      </w:p>
                    </w:tc>
                    <w:tc>
                      <w:tcPr>
                        <w:vMerge w:val="restart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9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3</w:t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A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Задовільно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EB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46" w:hRule="atLeast"/>
                      <w:tblHeader w:val="0"/>
                    </w:trPr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C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Е 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18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51-60</w:t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E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center"/>
                      </w:tcPr>
                      <w:p w:rsidR="00000000" w:rsidDel="00000000" w:rsidP="00000000" w:rsidRDefault="00000000" w:rsidRPr="00000000" w14:paraId="000000E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center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1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Достатньо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Merge w:val="continue"/>
                        <w:tcBorders>
                          <w:top w:color="000000" w:space="0" w:sz="4" w:val="single"/>
                          <w:left w:color="000000" w:space="0" w:sz="4" w:val="single"/>
                          <w:bottom w:color="000000" w:space="0" w:sz="4" w:val="single"/>
                          <w:right w:color="000000" w:space="0" w:sz="4" w:val="single"/>
                        </w:tcBorders>
                        <w:vAlign w:val="top"/>
                      </w:tcPr>
                      <w:p w:rsidR="00000000" w:rsidDel="00000000" w:rsidP="00000000" w:rsidRDefault="00000000" w:rsidRPr="00000000" w14:paraId="000000F0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курсу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2513"/>
        <w:gridCol w:w="1783"/>
        <w:gridCol w:w="4214"/>
        <w:gridCol w:w="2892"/>
        <w:gridCol w:w="1337"/>
        <w:tblGridChange w:id="0">
          <w:tblGrid>
            <w:gridCol w:w="1284"/>
            <w:gridCol w:w="2513"/>
            <w:gridCol w:w="1783"/>
            <w:gridCol w:w="4214"/>
            <w:gridCol w:w="2892"/>
            <w:gridCol w:w="13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Тиж. / дата / год.-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Література.*** Ресурси в інтернеті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Завдання,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Терміни виконання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Васіна  З.  Український  літопис  вбрання  11  000   років   до   н.е.–XIII   ст.   н.е. : науково-художні реконструкції / Зінаїда Васіна. – К. : Мистецтво, 2003. – 448 с. – (Український літопис вбрання ; т. 1). 2. Історія культури давнього населення України / [ред. колегія П. П. Толочко та ін.]. – К. : Наукова думка, 2001. – 1135 с.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Мистецтво первісної доби та стародавнього світу / [В. Білозор та ін.]. – К. : Інститут мистецтвознавства, фольклористики та етнології ім. М. Т. Рильського НАНУ, 2008– . – Т. 1 : Історія українського мистецтва. – 2008. – 709 с.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Трипільська цивілізація у спадщині України : матеріали та тези доповідей конф., 30-31 тр. 2003 р. / Український благодійний фонд «Трипілля», Всеукраїнське товариство «Просвіта» ім. Т.Г. Шевченка. – К. : Просвіта, 2003. – 325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Праця у групах. Знайти відповідники: давні культури на території України та пам’ятки/характерні риси трипільців, кіммерійців, скіфів, сарматів.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Дебати: «Джерела формування української культури».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Есе на тему: «Особливості та характерні риси української культури».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Аналіз феномену української культури за допомогою методу «Займи позицію».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Сутність культури. Розвиток культури на території України у дослов’янський період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Київської Русі та Галицько-Волинського князівства.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Александрович В. Українське малярство XIII–XV ст. / Володимир Александрович. – Львів : Видано коштом Стефанії Тершаковець-Бережницької та Юрія Бережницького, 1995. – 196 с.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Власто А. Запровадження християнства у слов’ян : Вступ до середньовічної історії слов’янства / А. Власто ; [пер. з англ. Р. Ткачук, Ю. Терех]. – К. : Юніверс, 2004. – 496 с.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Дзюба О. Літопис найважливіших подій культурного життя в Україні (X– середина XVII ст.) : посіб.–довідник / О. Дзюба, Г. Павленко. – К. : АртЕк, 1998. – 200 с.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Кордон М. Українська та зарубіжна культура : підр. / М. В. Кордон. – 3-тє видання. – К. : ЦУЛ, 2010. – 584 с.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Мистецтво Київської Русі : архітектура ; мозаїки ; фрески ; іконопис, мініатюра ; декоративно-ужиткове  мистецтво  :  альбом / [автор-упор.  Ю.  С.  Асєєв].  – К. : Мистецтво, 1989. – 60 с.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Михайлова Р. Д. Художня культура Галицько-Волинської Русі / Р. Д. Михайлова. – К. : Слово, 2007. – 490 с.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Дохристиянські вірування давнього населення України / Юрій Павленко. –К. : Либідь, 2000. – 328 с.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Ю. Передісторія давніх русів у світовому контексті / Юрій Павленко. – К. : Фенікс, 1994. – 400 с.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Фіголь   М.   Мистецтво   стародавнього    Галича    /    Михайло    Фіголь.    –  К. : Мистецтво, 1997. – 224 с.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Черепанова С. Філософія родознавства : навч. посіб. / Світлана Черепанова. – К. : Знання, 2008. – 460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Аналіз джерел розквіту культури (за допомогою методу «Коло ідей»).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Дискусія на тему «Значення християнства у розвитку української культури: Київська Русь та сьогодення».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Київської Русі та Галицько-Волинського князівства.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Ренесанс в українській культурі.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Ісаєвич Я. Д. Братства та їх роль в розвитку української культури XVI–XVIII  ст. / Я. Д. Ісаєвич ; Інститут суспільних наук Львівського державного університету імені Івана Франка. – К. : Наукова думка, 1966. – 249 с.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Я. Д. Ісаєвич]. – К. : Наукова думка, – 2001– . – Т. 2 : Українська культура XIII–першої половини XVII століть. – 2001. – 847 с.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Литвинов В. Д. Україна в пошуках своєї ідентичності, XVI–початок XVII століття : історико-філософський нарис / В. Д. Литвинов ; Національна академія наук України ; Відділення релігієзнавства Інституту філософії ім. Г. С. Сковороди. – К. : Наукова думка, 2008. – 528 с.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Любченко В. Ф. Львівська скульптура XIV–XVII століть / В. Ф. Любченко. – К. : Наукова думка, 1981. – 214 с.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 І. Львівське середмістя : всі вулиці, площі, храми й кам’яниці / Ігор Мельник. – Львів : Апріорі, 2011. – 318 с.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Овсійчук В. А. Українське мистецтво XIV–першої половини XVII століття / В. А. Овсійчук. – К. : Мистецтво, 1985. – 168 с.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Скоп Л. Українське церковне малярство в Галичині : техніка та технологія XV– XVIII століть / Лев Скоп ; Музей «Дрогобиччина» ; Творче об’єднання «Кактус». –Дрогобич : Коло, 2013. – 191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Брейнстормінг: гуманізм українського Ренесансу та сьогодення.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Ренесанс в українській культурі.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України другої половини XVII–XVIII століть.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Запорожці : до історії козацької культури / [ред. Ю. Косенко]. – К. : Мистецтво, 1993. – 396 с.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В. А. Смолій]. – К. : Наукова думка, – 2001– . – Т. 3 : Українська культура другої половини XVII-XVIII століть. – 2003. – 1246 с.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Моздир М. Володимир Лупійчук – співець українського козацтва / Микола Моздир ; Інститут народознавства НАН України. – Львів : Інститут народознавства НАН України, 2005. – 143 с.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С. Іван Мазепа як будівничий української культури / Сергій Павленко. – К. : Видавничий дім «КМ Академія», 2005. – 300 с.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Таранушенко   С.   Архітектура   урядових   будівель    Гетьманщини    XVIII  ст. / Стефан Таранушенко. – Х. : Харківський приватний  музей  міської  садиби, 2013. – 140 с.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бароко та європейський контекст : архітектура ; образотворче мистецтво ; театр і музика / [ред. кол. О. Г. Костюк та ін.]. – К. : Наукова  думка, 1991. – 256 с.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Lewin P. Ukrainian drama and  theater  in  the  seventeenth  and  eighteenth  centuries / Paulina Lewin. – Edmonton : Canadian Institute of Ukrainian Studies Press, 2008. – 218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Аналіз особливостей українського Бароко за допомогою методу «Рольові ігри».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Дискусія на тему «Феномен козацького бароко».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Культура України другої половини XVII– XVIII століть.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 часів Маркіяна Шашкевича : (львівське мистецтво першої половини століття) : каталог виставки : графіка ; живопис ; скульптура ; ужиткове мистецтво  :  із  львівських  збірок / [упор.  С.   Малець,   С.   Костюк].   –   Львів : Львівська наукова бібліотека ім. В. Стефаника, 1992. – 54 с.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 / [гол. ред. Г. А. Скрипник]. – К. : Наукова думка, – 2001– . – Т. 4, кн. 1 : Українська культура першої половини XIX століття. – 2008. – 1008 с. Т. 4, кн. 2 :Українська культура другої половини ХІХ століття. – 2005. – 1295 с.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Овсійчук В. Класицизм і романтизм в українському мистецтві / Володимир Овсійчук. – К. : Дніпро, 2001. – 447 с.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Чорній С. Карпенко-Карий і театр / Степан Чорній. – Мюнхен : Український Вільний Університет, 1978. – 175 с.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Короткий термінологічний диктант.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Визначити основні здобутки української культури в період Національно-культурного відродження (за допомогою методу «Логічний ланцюжок»).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Суспільно- історичні умови та культурне життя в Україні наприкінці ХVІІІ–на початку ХХ століття.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Бірюльов Ю. Мистецтво львівської сецесії / Юрій Бірюльов. – Львів : Центр Європи, 2005. – 184 с.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Брюховецька Л. Приховані фільми : українське кіно 1990-х / Лариса Брюховецька. – К. : АртЕк, 2003. – 382 с.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Мистецтво XX століття : український шлях / Орест Голубець. – Львів : Колір ПРО, 2012. – 199 с.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Горинь Б. Олександр Архипенко / Богдан Горинь. – К. : Атлант ЮЕмСі, 2007. – 63 с.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Єрмакова Н. Березільська культура : історія, досвід / Наталя Єрмакова ; Національна академія мистецтв України, Інститут проблем сучасного мистецтва. – К. : Фенікс, 2012. – 509 с. 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Ідеї, смисли, інтерпретації образотворчого мистецтва : українська теоретична думка XX століття : антологія. Ч. 1. Ч. 2 / [упор. Р. М. Яців]. – Львів : Львівська національна академія мистецтв, 2012. 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Красильникова О. В. Історія українського театру ХХ сторіччя / О. В. Красильникова. – К. : Либідь, 1999. – 208 с.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Лесь Курбас у театральній діяльності, в оцінках сучасників : документи / [ред. В. Ревуцький]. – Балтимор ; Торонто : Смолоскип, 1989. – 1026 с. 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Макарик І. Перетворення Шекспіра : Лесь Курбас, український модернізм і радянська культурна політика 1920-х років / Ірина Макарик.  –  К. : Ніка- Центр, 2010. – 347 с.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Малаков Д.  Архітектор Городецький : архівні розвідки / Дмитро Малаков.  –  К. : Кий, 1999. – 239 с.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Мистецтво української діаспори : повернуті імена / Національна комісія з питань повернення в Україну культурних цінностей при Кабінеті Міністрів України, Академія мистецтв України, Інститут мистецтвознавства, фольклористики та етнології ім. Рильського НАН України. – К. : Тріумф, 1998. – 382 с. Випуск 1. 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Мусієнко О. С. Українське кіно : тексти і контекст / О. С. Мусієнко. – Вінниця : Глобус-Прес, 2009. – 415 с.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Поетичне кіно : заборонена школа : пам’яті Івана Миколайчука. – К. : АртЕк ; Редакція журналу «Кіно-Театр», 2001. – 464 с. 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Скібіцька Т. Київський архітектурний модерн (1900–1910-і роки) / Тетяна Скібіцька. – Львів : Центр Європи, 2011. – 231с.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Стельмащук С. У світі звуків і слова : про діячів української культури другої половини XX століття / Степан Стельмащук. – Львів : Видавництво Тараса Сороки, 2009. – 319 с.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Чепелик В. В. Український архітектурний модерн / [упор. З. В. Мойсеєнко- Чепелик]. – К. : КНУБА, 2000. – 378 с.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Яців Р. Українське мистецтво XX століття : ідеї, явища, персоналії : збірник статей / Р. Яців. – Львів : Інститут народознавства, 2006. – 349 с.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Archipenko : international visionary / [edited by Donald H. Karshan]. – Washington : Smithsonian Institution Press, 1969. – 116 p.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За допомогою методу «Акваріум» визначити основні досягнення української культури у XX ст.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Опрацювати працю Л. Костенко «Гуманітарна аура нації або дефект головного дзеркала».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Відвідини культурно-мистецьких заходів.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Особливості розвитку української культури у ХХ столітті.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Сучасний соціокультурний простір України.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Булат Т. Світ Миколи Лисенка : національна ідентичність, музика і політика України   XIX–початку   XX   століття / Т.   Булат,   Т.   Філенко.   –   Нью-  Йорк : Українська Вільна Академія Наук у США. – 408 с.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Голубець О. Між свободою і тоталітаризмом : мистецьке середовище Львова другої половини ХХ століття / О. Голубець ; Львівська Академія Мистецтв. – Львів : Академічний експрес, 2001. – 176 с.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Жіночий образ у сучасному українському мистецтві / [упор. Л. Черватюк]. – К. : Навчальна книга, 2007. – 317 с.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Імпресіонізм і Україна / [упор. О. Жбанкова]. – К. : Галерея, 2011. – 238 с.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 української культури. / [гол. ред. М. Г. Жулинський]. – К. : Наукова думка, – 2001– . – Т. 5, кн. 1 : Українська культура XX–початку XXI століть. – 2011. – 862 с. Т. 5, кн. 2 : Українська культура XX–початку XXI століть. – 2011. – 1031 с. Т.5, кн. 4 : Українська культура ХХ–початку ХХІ століть. Проблеми функціонування, збереження і розвитку культури в Україні. – 2013. – 941 с.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Карась А. Філософія громадянського суспільства в класичних теоріях і некласичних баченнях : монографія. – К. ; Львів : Видавничий центр ЛНУ імені Івана Франка, 2003. – 520 с.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 Б.  Соціальні  зміни  і   національна   свідомість   в   Україні   ХХ  ст. / Богдан Кравченко ; [пер. з англ. В. Івашко, В. Корнієнко]. – К. : Основи, 1997. – 423 с.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О. Мистецтвознавчі рефлексії : історія, теорія та критика образотворчого мистецтва 70-х років ХХ століття–початку ХХІ століття : збірка статей / Ольга Петрова ; Національний університет «Києво-Могилянська академія». – К. : Видавничий дім «КМ Академія», 2004. – 397 с.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Степико М. Т. Українська ідентичність : феномен і засади формування : монографія / М. Т. Степико. – К. : НІСД, 2011. – 336 с.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Степовик Д. Нова українська ікона XX і початку XXI століть : традиційна іконографія та нова стилістика / Дмитро Степовик. – Жовква : Місіонер, 2012. – 286 с.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Українське мистецтво у полікультурному просторі : навч. посіб. / [ред. О. П. Рудницька]. – К. : ЕксОб, 2000. – 205 с.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Черкес Б. Національна ідентичність в архітектурі міста / Богдан Черкес ; Національний університет «Львівська політехніка». – Львів : Львівська політехніка, 2008. – 266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 Дискусія на тему: «Які цінності віддзеркалює сучасна культура?».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Аналіз розвитку сучасної літератури (наукові статті на вибір).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Формування таблиці ключових здобутків матеріальної та духовної культури українського народу. 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Сучасний соціокультурний простір України.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Лекція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Грушевський М. Хто такі українці і чого вони хочуть / Михайло Грушевський. – К. : Т-во «Знання», 1991. – 240 с.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Донченко О. Архетипи соціального життя і політика : (глибинні регулятиви психополітичного повсякдення) / О. Донченко, Ю. Романенко. – К. : Либідь, 2001. – 334 с.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Економічні , соціальні й культурні права / [ред. А. Ейде, К. Краузе, А Розаса ; пер. з англ. Г. Є. Краснокутський ; наук. ред. Г. І. Чанишева]. – О. : АО Бахва, 2006. – 728 с.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Звичаї українського народу / [упор. Н. Павленко]. – К. : Вета-Прес, 2007. – 124 с.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Косміна О. Традиційне вбрання українців : в 2 т. / Оксана Косміна. – К. : Балтія-Друк, 2007– . – Т. 1 : Лісостеп ; Степ. – 2007. – 157 с. Т. 2 : Полісся ; Карпати. – 2009. – 157 с.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Культурологія : навч. посіб. для студ. вищ. навч. закл. / С. Абрамович, М. Тілло, М. Чікарьова ; Київський національний торговельно-економічний університет, Чернівецький торговельно-економічний інститут. – К. : Кондор, 2005. – 347 с.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 Т. Культура масова і популярна : теорії та практики / Т. Лютий, О. Ярош ; Інститут філософії імені Г. С. Сковороди Національної Академії наук України. – К. : Україна, 2007. – 123 с.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Посацький Б. Простір міста і міська культура : (на зламі XX–XXI ст.) / Б. С. Посацький. – Львів : Львівська політехніка, 2007. – 207 с.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Сторі Дж. Теорія культури та масова культура : вступний курс / Джон Сторі ; [пер. з англ. Сергій Савченко]. – Х. : Акта, 2005. – 357 с.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Українські митці у світі : матеріали до історії українського мистецтва ХХ століття / [автор-упор. Г. Стельмащук]. – Львів : Апріорі, 2013. – 516 с.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Шедеври українського живопису : альбом / [упор. Д. Горбачов]. – К. : Мистецтво, 2008. – 602 с.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Визначення внеску українських діячів у світову культуру (за допомогою методу Case-study).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  <w:tab w:val="left" w:pos="567"/>
              </w:tabs>
              <w:spacing w:after="0" w:before="0" w:line="240" w:lineRule="auto"/>
              <w:ind w:left="0" w:right="0" w:firstLine="3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Тема. Українська та світова культура.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Семінарське заняття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0" w:right="0" w:firstLine="9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 w:orient="landscape"/>
      <w:pgMar w:bottom="1134" w:top="1134" w:left="899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hAnsi="Cambria"/>
      <w:b w:val="1"/>
      <w:bCs w:val="0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0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Cambria" w:hAnsi="Cambria"/>
      <w:b w:val="1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Звичайнатаблиця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ullets">
    <w:name w:val="Bullets"/>
    <w:basedOn w:val="Звичайний"/>
    <w:next w:val="Bullets"/>
    <w:autoRedefine w:val="0"/>
    <w:hidden w:val="0"/>
    <w:qFormat w:val="0"/>
    <w:pPr>
      <w:widowControl w:val="0"/>
      <w:numPr>
        <w:ilvl w:val="0"/>
        <w:numId w:val="1"/>
      </w:numPr>
      <w:tabs>
        <w:tab w:val="left" w:leader="none" w:pos="0"/>
        <w:tab w:val="left" w:leader="none" w:pos="284"/>
      </w:tabs>
      <w:suppressAutoHyphens w:val="1"/>
      <w:spacing w:before="60" w:line="1" w:lineRule="atLeast"/>
      <w:ind w:left="284" w:leftChars="-1" w:rightChars="0" w:hanging="284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en-AU"/>
    </w:r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paragraph" w:styleId="Звичайний(веб)">
    <w:name w:val="Звичайний (веб)"/>
    <w:basedOn w:val="Звичайний"/>
    <w:next w:val="Звичайни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tr-TR" w:val="tr-TR"/>
    </w:rPr>
  </w:style>
  <w:style w:type="paragraph" w:styleId="x_msonormal">
    <w:name w:val="x_msonormal"/>
    <w:basedOn w:val="Звичайний"/>
    <w:next w:val="x_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орінки">
    <w:name w:val="Номер сторінки"/>
    <w:basedOn w:val="Шрифтабзацузапромовчанням"/>
    <w:next w:val="Номерсторін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іперпосилання">
    <w:name w:val="Гіперпосилання"/>
    <w:next w:val="Гіперпосилання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hort_text">
    <w:name w:val="short_text"/>
    <w:basedOn w:val="Шрифтабзацузапромовчанням"/>
    <w:next w:val="short_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ps">
    <w:name w:val="hps"/>
    <w:basedOn w:val="Шрифтабзацузапромовчанням"/>
    <w:next w:val="hp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0"/>
      <w:w w:val="100"/>
      <w:position w:val="-1"/>
      <w:effect w:val="none"/>
      <w:vertAlign w:val="baseline"/>
      <w:cs w:val="0"/>
      <w:em w:val="none"/>
      <w:lang/>
    </w:rPr>
  </w:style>
  <w:style w:type="character" w:styleId="treb">
    <w:name w:val="treb"/>
    <w:basedOn w:val="Шрифтабзацузапромовчанням"/>
    <w:next w:val="tre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stancename">
    <w:name w:val="instancename"/>
    <w:basedOn w:val="Шрифтабзацузапромовчанням"/>
    <w:next w:val="instancen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1">
    <w:name w:val="Знак Знак1"/>
    <w:next w:val="ЗнакЗнак1"/>
    <w:autoRedefine w:val="0"/>
    <w:hidden w:val="0"/>
    <w:qFormat w:val="0"/>
    <w:rPr>
      <w:b w:val="1"/>
      <w:bCs w:val="0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ЗнакЗнак2">
    <w:name w:val="Знак Знак2"/>
    <w:next w:val="ЗнакЗнак2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character" w:styleId="articlealttitle">
    <w:name w:val="articlealttitle"/>
    <w:basedOn w:val="Шрифтабзацузапромовчанням"/>
    <w:next w:val="articlealttit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накЗнак">
    <w:name w:val="Знак Знак"/>
    <w:next w:val="ЗнакЗнак"/>
    <w:autoRedefine w:val="0"/>
    <w:hidden w:val="0"/>
    <w:qFormat w:val="0"/>
    <w:rPr>
      <w:rFonts w:ascii="Cambria" w:cs="Times New Roman" w:eastAsia="Times New Roman" w:hAnsi="Cambria"/>
      <w:b w:val="1"/>
      <w:bCs w:val="0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accesshide">
    <w:name w:val="accesshide"/>
    <w:basedOn w:val="Шрифтабзацузапромовчанням"/>
    <w:next w:val="accesshid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">
    <w:name w:val="st"/>
    <w:basedOn w:val="Шрифтабзацузапромовчанням"/>
    <w:next w:val="s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Виділення">
    <w:name w:val="Виділення"/>
    <w:next w:val="Виділення"/>
    <w:autoRedefine w:val="0"/>
    <w:hidden w:val="0"/>
    <w:qFormat w:val="0"/>
    <w:rPr>
      <w:i w:val="1"/>
      <w:iCs w:val="0"/>
      <w:w w:val="100"/>
      <w:position w:val="-1"/>
      <w:effect w:val="none"/>
      <w:vertAlign w:val="baseline"/>
      <w:cs w:val="0"/>
      <w:em w:val="none"/>
      <w:lang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itation">
    <w:name w:val="citation"/>
    <w:basedOn w:val="Шрифтабзацузапромовчанням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auto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k-UA"/>
    </w:rPr>
  </w:style>
  <w:style w:type="character" w:styleId="ТекствиноскиЗнак">
    <w:name w:val="Текст виноски Знак"/>
    <w:next w:val="Текстви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lb">
    <w:name w:val="colb"/>
    <w:basedOn w:val="Шрифтабзацузапромовчанням"/>
    <w:next w:val="col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WW-Основнойтекст2">
    <w:name w:val="WW-Основной текст 2"/>
    <w:basedOn w:val="Звичайний"/>
    <w:next w:val="WW-Основнойтекст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WW-Основнойтекстсотступом2">
    <w:name w:val="WW-Основной текст с отступом 2"/>
    <w:basedOn w:val="Звичайний"/>
    <w:next w:val="WW-Основнойтекстсотступом2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k-UA"/>
    </w:rPr>
  </w:style>
  <w:style w:type="paragraph" w:styleId="Основнийтекстзвідступом">
    <w:name w:val="Основний текст з відступом"/>
    <w:basedOn w:val="Звичайний"/>
    <w:next w:val="Основнийтекстзвідступом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textDirection w:val="btLr"/>
      <w:textAlignment w:val="top"/>
      <w:outlineLvl w:val="0"/>
    </w:pPr>
    <w:rPr>
      <w:b w:val="1"/>
      <w:bCs w:val="1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character" w:styleId="ОсновнийтекстзвідступомЗнак">
    <w:name w:val="Основний текст з відступом Знак"/>
    <w:next w:val="ОсновнийтекстзвідступомЗнак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Незакритазгадка">
    <w:name w:val="Незакрита згадка"/>
    <w:next w:val="Незакритазгадка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il">
    <w:name w:val="il"/>
    <w:basedOn w:val="Шрифтабзацузапромовчанням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ya.kokhanovska@lnu.edu.ua" TargetMode="External"/><Relationship Id="rId8" Type="http://schemas.openxmlformats.org/officeDocument/2006/relationships/hyperlink" Target="https://filos.lnu.edu.ua/department/teoriji-ta-istoriji-kultur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L8MKWEtZvM61AL+5ULxMLw3SQ==">AMUW2mVuws1G9me7qoJKQA7yDPzYBwJGknPTkwxdlBAT93NLmf1cnh3/vbgOjCTN5GD8czN6ZO4adLHWPJ0YIeU+0eW+xpsi/PCB9zjECTlSBuv4lO8cMqA=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2021-02-06T15:37:00Z</dcterms:created>
  <dc:creator>def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