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  <w:shd w:fill="auto" w:val="clear"/>
        </w:rPr>
        <w:t>МІНІСТЕРСТВО ОСВІТИ І НАУКИ УКРАЇНИ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Львівський національний університет імені Івана Франка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Факультет філософський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Кафедра теорії та історії культури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Затверджено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засіданні кафедри теорії та історії культури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філософського факультету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Львівського національного університету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імені Івана Франка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(протокол </w:t>
      </w:r>
      <w:r>
        <w:rPr>
          <w:sz w:val="24"/>
          <w:szCs w:val="24"/>
        </w:rPr>
        <w:t>№1 від 26 серпня 2022 р.)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Завідувач кафедри _________________ проф. Альчук М.П.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Силабус з навчальної дисципліни «Історія української культури»,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що викладається в межах ОПП першого (бакалаврського)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рівня вищої освіти для здобувачів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зі спеціальності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– 111 «Математика»</w:t>
      </w:r>
      <w:r>
        <w:rPr>
          <w:sz w:val="24"/>
          <w:szCs w:val="24"/>
        </w:rPr>
        <w:t>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113 – «Прикладна математика»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 202</w:t>
      </w:r>
      <w:r>
        <w:rPr>
          <w:b/>
          <w:sz w:val="24"/>
          <w:szCs w:val="24"/>
        </w:rPr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Силабус курсу «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Історія української культури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»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</w:t>
      </w:r>
      <w:r>
        <w:rPr>
          <w:b/>
          <w:sz w:val="24"/>
          <w:szCs w:val="24"/>
        </w:rPr>
        <w:t>2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-202</w:t>
      </w:r>
      <w:r>
        <w:rPr>
          <w:b/>
          <w:sz w:val="24"/>
          <w:szCs w:val="24"/>
        </w:rPr>
        <w:t>3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навчального року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45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0"/>
        <w:gridCol w:w="12214"/>
      </w:tblGrid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Історія української культури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Адреса викладання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Вул. Університетська, 1, Львів.</w:t>
            </w:r>
          </w:p>
        </w:tc>
      </w:tr>
      <w:tr>
        <w:trPr>
          <w:trHeight w:val="115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Факультет та кафедра, за якою закріплена дисципліна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Філософський факультет, кафедра теорії та історії культури.</w:t>
            </w:r>
          </w:p>
        </w:tc>
      </w:tr>
      <w:tr>
        <w:trPr>
          <w:trHeight w:val="84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Галузь знань, шифр та назва спеціальності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Галузь знань – 11 «Математика та статистика»</w:t>
            </w:r>
            <w:r>
              <w:rPr>
                <w:sz w:val="24"/>
                <w:szCs w:val="24"/>
              </w:rPr>
              <w:t>.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Викладачі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 xml:space="preserve">Лекції: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Довгань Марія Григорівна, кандидат філософських наук, доцент.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Семінари: доц. Довгань М.Г., доц. Васьків А.Ю, доц. Галуйко Р.М., доц. Бойко І.М.</w:t>
            </w:r>
          </w:p>
        </w:tc>
      </w:tr>
      <w:tr>
        <w:trPr>
          <w:trHeight w:val="115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Контактна інформація викладачів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2">
              <w:r>
                <w:rPr>
                  <w:rStyle w:val="ListLabel91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4"/>
                  <w:sz w:val="24"/>
                  <w:szCs w:val="24"/>
                  <w:u w:val="single"/>
                  <w:shd w:fill="auto" w:val="clear"/>
                  <w:vertAlign w:val="baseline"/>
                </w:rPr>
                <w:t>mariya.kokhanovska@lnu.edu.ua</w:t>
              </w:r>
            </w:hyperlink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кафедри: (032) 239-42-10</w:t>
            </w:r>
          </w:p>
        </w:tc>
      </w:tr>
      <w:tr>
        <w:trPr>
          <w:trHeight w:val="871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Консультації по курсу відбуваються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Консультації відбуваються через електронну пошту, Viber, Zoom.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Сторінка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3">
              <w:r>
                <w:rPr>
                  <w:rStyle w:val="ListLabel92"/>
                  <w:color w:val="1155CC"/>
                  <w:sz w:val="24"/>
                  <w:szCs w:val="24"/>
                  <w:u w:val="single"/>
                </w:rPr>
                <w:t>https://filos.lnu.edu.ua/employee/kohanovska-mariya-hryhorivna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Інформація про курс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Дисципліна «Історія української культури» викладається в </w:t>
            </w:r>
            <w:r>
              <w:rPr>
                <w:sz w:val="24"/>
                <w:szCs w:val="24"/>
              </w:rPr>
              <w:t>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>
        <w:trPr>
          <w:trHeight w:val="115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Коротка анотація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Курс покликаний надати студентам/студенткам знання, сформувати вміння та навички, що стосуються історії української культури, визначення цінностей та особливостей української культури, її взаємодії з іншими культурами. Курс передбачає акцент на розвитку критичного мислення, дослідницькій роботі, аргументації власної позиції, розвитку особистісних зацікавлень студентів. 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78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Мета та цілі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Мета – здобуття студентами знань, вмінь та навичок для аналізу культурних процесів в Україні, їх впливу на особистісне, національне та міжнародне життя.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Цілі:</w:t>
              <w:br/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ознайомити із культурними епохами в Україні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представити основні здобутки духовної та матеріальної культури України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розкрити значення міжкультурної комунікації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навчити аналізувати культурну динаміку українського суспільства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сформувати вміння аналізу соціокультурного дискурсу сучасності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розвинути вміння обґрунтованого та толерантного відстоювання власної позиції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виявити вплив громадянської позиції та системи цінностей на розвиток суспільства</w:t>
            </w:r>
          </w:p>
        </w:tc>
      </w:tr>
      <w:tr>
        <w:trPr>
          <w:trHeight w:val="706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Література для вивчення дисципліни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both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сновна:</w:t>
            </w:r>
          </w:p>
          <w:p>
            <w:pPr>
              <w:pStyle w:val="Normal1"/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культури : (від стародавніх часів до ХІХ століття) : ілюстрована хрестоматія : [в 3 ч.]. Ч. 1 / за заг. ред. Ю. С. Сабадаш. - Київ : Ліра-К, 2020. - 319, [1] с.</w:t>
            </w:r>
          </w:p>
          <w:p>
            <w:pPr>
              <w:pStyle w:val="Normal1"/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О., Мельничук Т. Історія української культури. Київ: Центр учбової літератури, 2019. 319 с.  </w:t>
            </w:r>
          </w:p>
          <w:p>
            <w:pPr>
              <w:pStyle w:val="Normal1"/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Сабадаш, Ю. С. Історія української культури : курс лекцій для студ. усіх спец. ОС "Бакалавр" ден. та заоч. форм навчання / Ю. С. Сабадаш, Ю. М. Нікольченко, Л. Г. Дабло ; за заг. ред. Ю. С. Сабадаш ; МОН України, Маріупольський держ. ун-т, Історичний ф-т, Кафедра культурології та інформаційної діяльності. - Київ : Ліра-К, 2021. - 229, [1] с. </w:t>
            </w:r>
          </w:p>
          <w:p>
            <w:pPr>
              <w:pStyle w:val="Normal1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Додаткова:</w:t>
            </w:r>
          </w:p>
          <w:p>
            <w:pPr>
              <w:pStyle w:val="Normal1"/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Васіна З. Український літопис вбрання XIII–поч. XX ст. К.: Мистецтво, 2006. 448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Власто А. Запровадження хр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истиянства у слов’ян: Вступ до середньовічної історії слов’янства. Київ: Юніверс, 2004. 496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Вовк Ф. Студії з української етнографії та антропології: нова редакція. Харків: Видавець Савчук О. О., 2015. 464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Грушевський М. Хто такі українці і чого вони хочуть. Київ: Т-во «Знання», 1991. 240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Дарморіз О. В. Міфологія: навчальний посібник. Львів: Львівський національний університет імені Івана Франка, 2010. 247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Економічні, соціальні й культурні права / ред. А. Ейде, К. Краузе, А Розаса. Одеса: АО Бахва, 2006. 728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Замки та фортеці: альбом / упоряд. Л. Прибєги. Київ: Мистецтво, 2007. 352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Звичаї українського народу / автор і упоряд. текстів М. Ткач; упоряд. Н. Павленко. Київ: Вета–Прес, 2007. 124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Ідеї, смисли, інтерпретації образотворчого мистецтва: українська теоретична думка XX століття: антологія. Ч. 1. Ч. 2 / упор. Р. М. Яців. Львів: Львівська національна академія мистецтв, 2012.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Історія світової та української культури: підручник / В. Греченко, І. Чорний, В. Кушнерук, В. Режко. Київ: Літера, 2000. 464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Карась А. Філософія громадянського суспільства в класичних теоріях і некласичних баченнях: монографія. Київ; Львів: Видавничий центр ЛНУ імені Івана Франка, 2003. 520 с.</w:t>
            </w:r>
          </w:p>
          <w:p>
            <w:pPr>
              <w:pStyle w:val="Normal1"/>
              <w:numPr>
                <w:ilvl w:val="0"/>
                <w:numId w:val="8"/>
              </w:numPr>
              <w:shd w:val="clear" w:fill="FFFFFF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Крвавич Д. П. Українське мистецтво: навч. посіб. для студ. вузів у трьох частинах. Львів: Світ, 2003.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Культурологія: енциклопедичний словник / М. П. Альчук, Ф. С. Бацевич, І. М. Бойко; ред. В. П. Мельник. Львів: Львівський національний університет імені Івана Франка, 2013. 508 с.</w:t>
            </w:r>
          </w:p>
          <w:p>
            <w:pPr>
              <w:pStyle w:val="Normal1"/>
              <w:numPr>
                <w:ilvl w:val="0"/>
                <w:numId w:val="8"/>
              </w:numPr>
              <w:shd w:val="clear" w:fill="FFFFFF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з історії світової та вітчизняної культури: навч. посіб / ред. А. В. Яртись, В. П. Мельник. Львів: Світ, 2005. </w:t>
            </w:r>
            <w:r>
              <w:rPr>
                <w:sz w:val="24"/>
                <w:szCs w:val="24"/>
                <w:highlight w:val="white"/>
              </w:rPr>
              <w:t>568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Лютий Т. Культура масова і популярна: теорії та практики. Київ: Україна, 2007. 123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Мистецтво української діаспори: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Київ: Тріумф, 1998. 382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Мусієнко О. С. Українське кіно: тексти і контекст. Вінниця: Глобус–Прес, 2009. 415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Сінькевич О. Б. Соціальні практики масової культури: ідентифікаційний дискурс: монографія. Львів: Львівський національний університет імені Івана Франка, 2015. 359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Степико М. Т. Українська ідентичність: феномен і засади формування: монографія. Київ: НІСД, 2011. 336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Українське мистецтво у полікультурному просторі: навч. посіб. / ред. О. П. Рудницька. Київ: ЕксОб, 2000. 205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Українське образотворче мистецтво: імена, життєписи, твори (XI–XXI ст.) / ред. Р. М. Яців та ін. Харків: Факт, 2012. 720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Українські митці у світі: матеріали до історії українського мистецтва ХХ століття / автор–упор. Г. Стельмащук. Львів: Апріорі, 2013. 516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Черкес Б. Національна ідентичність в архітектурі міста. Львів: Львівська політехніка, 2008. 266 с.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Тривалість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 семестр.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Обсяг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кредити (90 годин): 32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год. ауд. (16 год. лек., 16 год. практ.) та 58 год. самостійної роботи. </w:t>
            </w:r>
          </w:p>
        </w:tc>
      </w:tr>
      <w:tr>
        <w:trPr>
          <w:trHeight w:val="38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Очікувані результати навчання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У результаті вивчення навчальної дисципліни студент повинен</w:t>
            </w:r>
          </w:p>
          <w:p>
            <w:pPr>
              <w:pStyle w:val="Normal1"/>
              <w:rPr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знати: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особливості мистецьких стилів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періодизацію та особливості культурних епох в Україні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видатних українців та їх внесок в українську та світову спадщину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визначні пам’ятки духовної та матеріальної культури України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особливості ментальності українського народу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вміти: 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br/>
              <w:t>∙визначати стилі пам’яток культури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досліджувати взаємозв’язок між розвитком культури та держави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аналізувати культурні та суспільно-політичні явища сучасної України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виявляти культурні цінності та явища антикультури</w:t>
            </w:r>
          </w:p>
          <w:p>
            <w:pPr>
              <w:pStyle w:val="Normal1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 xml:space="preserve">∙ 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визначати сфери можливого особистого заангажування у розвиток української культури відповідно до професійної кваліфікації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Ключові слова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Історія української культури, ренесанс, бароко, мистецтво, скульптура, кіно, графіка, література, цінності.</w:t>
            </w:r>
          </w:p>
        </w:tc>
      </w:tr>
      <w:tr>
        <w:trPr>
          <w:trHeight w:val="2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Формат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Змішана форма навчання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 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Див. інформацію у таблиці.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Підсумковий контроль, форма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Залік.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Пререквізити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Для вивчення курсу студенти потребують базових знань із соціо-гуманітарних дисциплін.</w:t>
            </w:r>
          </w:p>
        </w:tc>
      </w:tr>
      <w:tr>
        <w:trPr>
          <w:trHeight w:val="171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Словесні, наочні, практичні, пояснювально-ілюстративний метод, дослідницький.  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Необхідне обладнання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Проектор, ноутбук, </w:t>
            </w:r>
            <w:r>
              <w:rPr>
                <w:sz w:val="24"/>
                <w:szCs w:val="24"/>
              </w:rPr>
              <w:t>дошка, маркери, крейда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Питання для контролю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приклади духовної та матеріальної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функції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п’ять теорій походження українського народу.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Обґрунтуйте, з якого часу правомірно вести мову про існування української культури?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культурні епохи характерні для території України та коли вони тривали?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найдавніші поселення людей на території України.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полягає суть неолітичної революції?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Вам відомі первісні форми релігійних вірувань?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Розкрийте досягнення скіфів у культурному та суспільно-політичному аспектах.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взаємовпливи між культурами в античних містах Північного Причорномор’я.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Який період охоплювала культура Київської Русі та на якій території вона поширювалась?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вплинули на формування культури Київської Русі зовнішні суспільно- політичні чинники?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сприяло консолідації населення та розвитку Київської Русі?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займав розвиток культури у діяльності князів?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вплинула культура Київської Русі на культуру інших народів?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посідала Київська Русь у середньовічній Європі?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виражається вплив на культуру Київської Русі Візантійської культури?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вплив язичництва та християнства на формування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визначальних характеристик культури Київської Русі.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передумови виникнення, територію поширення та причини занепаду Галицько-Волинського князівства.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визначальних характеристик культури Галицько-Волинського князівства.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європейський та український Ренесанс.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відображалися ідеї гуманізму в культурі Ренесансу?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сім основних характеристик українського Ренесансу.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епохи Ренесансу.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 було світорозуміння епохи Ренесансу?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займала релігія у розвитку культури?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представників Ренесансу та розкрийте їх внесок у розвиток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меценатів епохи Ренесансу та їхній внесок у розвиток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освіти в епоху Ренесансу.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книгодрукування в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архітектурних пам'яток Ренесансу.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суспільно-політичний стан в Україні у другій половині XVII–XVIII століттях.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європейське та українське бароко.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головних характеристик епохи Бароко в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світогляд епохи Бароко.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основні етапи розвитку та визначних представників Львівського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університету та Києво-Могилянської академії.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літературу та назвіть п’ять творів Бароко.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ключові філософські ідеї Г. Сковороди.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виражався стиль бароко в архітектурі?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архітектурних пам’яток та чотирьох архітекторів епохи Бароко.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культуру козацької держави.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досягнення у театральному мистецтві відбулися в епоху Бароко?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в Україні наприкінці ХVІІІ–на початку ХХ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мистецькі напрями домінують в Україні наприкінці ХVІІІ–на початку ХХ століття?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національно-культурне відродження на Лівобережній та Правобережній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осередки національно-культурного відродження в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вплинуло створення політичних партій на тогочасну суспільно-політичну ситуацію?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Висвітліть історію створення національного гімну України.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полягає внесок Т. Шевченка, І. Франка, Лесі Українки та о. М. Вербицького у розвитку української культури?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роль Української Греко-Католицької Церкви у національно-культурному відродженні.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внесок семи діячів у національно-культурне відродження в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займали університети в соціокультурному просторі України кін. ХVІІІ–поч. ХХ століття?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архітектури у період національно-культурного відродження.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скульптури у період національно-культурного відродження.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здобутки у розвитку театрального мистецтва кін. ХVІІІ–поч. ХХ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на території України у XX столітті.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вплив зовнішніх суспільно-політичних та культурних чинників на розвиток української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головні чинники розвитку української культури у XX столітті.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мистецькі напрями та течії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літературний дискурс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представників «розстріляного відродження» та головні мотиви їх творчості.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шістдесятників та проаналізуйте їх діяльність.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освіти у XX столітті.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досягнень українських науковців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стилі та напрями української музики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українських композиторів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театрального мистецтва XX ст. та назвіть його чотирьох представників.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етапи розвитку українського кіномистецтва.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три твори кіномистецтва XX століття.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українських архітекторів та скульпторів, а також їхні основні роботи.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5 українських живописців та охарактеризуйте їх внесок в українську культуру.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осередки української культури в діаспорі та охарактеризуйте їх внесок в розвиток української культури.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риси сучасного соціокультурного простору України.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Висвітліть передумови проголошення незалежності України.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громадянське суспільство?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національна ідея?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найбільші культурно-мистецькі події України.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тенденції змін у системі цінностей українців (з часу проголошення Незалежності до поточного року).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актуального мистецтва та його місце в українській культурі.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літературний дискурс сучасності.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української літератури у XX–XXI століттях.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письменників та поетів сучасності та їх основні твори.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досягнення українського кіномистецтва.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чотири українські кінострічки.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сучасного театрального мистецтва.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стан розвитку сучасної української музики.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займає релігія у соціокультурному просторі сучасної України?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стан розвитку сучасної архітектури та скульптури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живопису та назвіть чотирьох авторів.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існують типи культурної взаємодії?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культурна ідентичність?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ментальні риси українця.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національний характер?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цінності переважають у сучасному українському суспільстві?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Розкрийте суть понять «етнографічна група» та «національна меншина».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Autospacing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Охарактеризуйте стан культури національних меншин в Україні.</w:t>
            </w:r>
          </w:p>
          <w:p>
            <w:pPr>
              <w:pStyle w:val="Normal1"/>
              <w:numPr>
                <w:ilvl w:val="0"/>
                <w:numId w:val="7"/>
              </w:numPr>
              <w:spacing w:lineRule="auto" w:line="240" w:before="0" w:after="24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сьогодні реалізується культурна політика?</w:t>
            </w:r>
          </w:p>
        </w:tc>
      </w:tr>
      <w:tr>
        <w:trPr>
          <w:trHeight w:val="1317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20" w:type="dxa"/>
              <w:bottom w:w="100" w:type="dxa"/>
              <w:right w:w="120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20" w:type="dxa"/>
              <w:bottom w:w="100" w:type="dxa"/>
              <w:right w:w="120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Критерії оцінювання: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Максимум – 100 балів:</w:t>
            </w:r>
          </w:p>
          <w:tbl>
            <w:tblPr>
              <w:tblStyle w:val="Table2"/>
              <w:tblW w:w="119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808"/>
              <w:gridCol w:w="802"/>
              <w:gridCol w:w="688"/>
              <w:gridCol w:w="803"/>
              <w:gridCol w:w="2"/>
              <w:gridCol w:w="685"/>
              <w:gridCol w:w="803"/>
              <w:gridCol w:w="918"/>
              <w:gridCol w:w="919"/>
              <w:gridCol w:w="3"/>
              <w:gridCol w:w="1258"/>
              <w:gridCol w:w="3"/>
              <w:gridCol w:w="4271"/>
            </w:tblGrid>
            <w:tr>
              <w:trPr>
                <w:trHeight w:val="745" w:hRule="atLeast"/>
              </w:trPr>
              <w:tc>
                <w:tcPr>
                  <w:tcW w:w="64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Поточне оцінювання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Два контролі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знань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Сума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Змістовий модуль №1</w:t>
                  </w:r>
                </w:p>
              </w:tc>
              <w:tc>
                <w:tcPr>
                  <w:tcW w:w="33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Змістовий модуль № 2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20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Т2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Т3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Т4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Т5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Т6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Т7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Т8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305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1317" w:hRule="atLeast"/>
              </w:trPr>
              <w:tc>
                <w:tcPr>
                  <w:tcW w:w="11963" w:type="dxa"/>
                  <w:gridSpan w:val="1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fill="auto" w:val="clear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                             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                                              </w:t>
                  </w: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Шкала оцінювання: вузу, національна та ECTS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tbl>
                  <w:tblPr>
                    <w:tblStyle w:val="Table3"/>
                    <w:tblW w:w="9715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000"/>
                  </w:tblPr>
                  <w:tblGrid>
                    <w:gridCol w:w="2052"/>
                    <w:gridCol w:w="1264"/>
                    <w:gridCol w:w="740"/>
                    <w:gridCol w:w="2318"/>
                    <w:gridCol w:w="1"/>
                    <w:gridCol w:w="3340"/>
                  </w:tblGrid>
                  <w:tr>
                    <w:trPr>
                      <w:trHeight w:val="447" w:hRule="atLeast"/>
                    </w:trPr>
                    <w:tc>
                      <w:tcPr>
                        <w:tcW w:w="20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  ECTS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639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 національною шкалою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2052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3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Залік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А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90 – 100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5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tru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240" w:after="60"/>
                          <w:ind w:left="0" w:right="0" w:hanging="0"/>
                          <w:jc w:val="center"/>
                          <w:rPr>
                            <w:b/>
                            <w:b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Відмінно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  <w:p>
                        <w:pPr>
                          <w:pStyle w:val="Normal1"/>
                          <w:keepNext w:val="tru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240" w:after="6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Зараховано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В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81-89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4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С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71-80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Добре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D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61-70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3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51-60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Достатньо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</w:tbl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Додаток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Схема курсу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140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83"/>
        <w:gridCol w:w="2513"/>
        <w:gridCol w:w="1782"/>
        <w:gridCol w:w="4214"/>
        <w:gridCol w:w="2891"/>
        <w:gridCol w:w="1339"/>
      </w:tblGrid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Тиж. / дата / год.-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Тема, план, короткі 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firstLine="9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Література.*** Ресурси в 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Завдання, 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Терміни виконання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1/01.09/2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Сутність культури. Розвиток культури на території України у дослов’янський 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Васіна  З.  Український  літопис  вбрання  11  000   років   до   н.е.–XIII   ст.   н.е. : науково-художні реконструкції / Зінаїда Васіна. – К. : Мистецтво, 2003. – 448 с. – (Український літопис вбрання ; т. 1).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культури давнього населення України / [ред. колегія П. П. Толочко та ін.]. – К. : Наукова думка, 2001. – 1135 с.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Мистецтво первісної доби та стародавнього світу / [В. Білозор та ін.]. – К. : Інститут мистецтвознавства, фольклористики та етнології ім. М. Т. Рильського НАНУ, 2008– . – Т. 1 : Історія українського мистецтва. – 2008. – 709 с.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Трипільська цивілізація у спадщині України : матеріали та тези доповідей конф., 30-31 тр. 2003 р. / Український благодійний фонд «Трипілля», Всеукраїнське товариство «Просвіта» ім. Т.Г. Шевченка. – К. : Просвіта, 2003. 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 Праця у групах. Знайти відповідники: давні культури на території України та пам’ятки/характерні риси трипільців, кіммерійців, скіфів, сарматів.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Дебати: «Джерела формування української культури».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Есе на тему: «Особливості та характерні риси української культури».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Аналіз феномену української культури за допомогою методу «Займи позицію».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06.09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2/06.09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Сутність культури. Розвиток культури на території України у дослов’янський 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firstLine="34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3/15.09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Культура Київської Русі та Галицько-Волинського князівства.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Александрович В. Українське малярство XIII–XV ст. / Володимир Александрович. – Львів : Видано коштом Стефанії Тершаковець-Бережницької та Юрія Бережницького, 1995. – 196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Власто А. Запровадження християнства у слов’ян : Вступ до середньовічної історії слов’янства / А. Власто ; [пер. з англ. Р. Ткачук, Ю. Терех]. – К. : Юніверс, 2004. – 496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Дзюба О. Літопис найважливіших подій культурного життя в Україні (X– середина XVII ст.) : посіб.–довідник / О. Дзюба, Г. Павленко. – К. : АртЕк, 1998. – 200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Кордон М. Українська та зарубіжна культура : підр. / М. В. Кордон. – 3-тє видання. – К. : ЦУЛ, 2010. – 584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Мистецтво Київської Русі : архітектура ; мозаїки ; фрески ; іконопис, мініатюра ; декоративно-ужиткове  мистецтво  :  альбом / [автор-упор.  Ю.  С.  Асєєв].  – К. : Мистецтво, 1989. – 60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Михайлова Р. Д. Художня культура Галицько-Волинської Русі / Р. Д. Михайлова. – К. : Слово, 2007. – 490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Павленко Ю. Дохристиянські вірування давнього населення України / Юрій Павленко. –К. : Либідь, 2000. – 328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Павленко Ю. Передісторія давніх русів у світовому контексті / Юрій Павленко. – К. : Фенікс, 1994. – 400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Фіголь   М.   Мистецтво   стародавнього    Галича    /    Михайло    Фіголь.    –  К. : Мистецтво, 1997. – 224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Черепанова С. Філософія родознавства : навч. посіб. / Світлана Черепанова. – К. : Знання, 2008. – 460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Аналіз джерел розквіту культури (за допомогою методу «Коло ідей»).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Дискусія на тему «Значення християнства у розвитку української культури: Київська Русь та сьогодення».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4/20.09/2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Культура Київської Русі та Галицько-Волинського 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/24.09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Ренесанс в українській культурі.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Ісаєвич Я. Д. Братства та їх роль в розвитку української культури XVI–XVIII  ст. / Я. Д. Ісаєвич ; Інститут суспільних наук Львівського державного університету імені Івана Франка. – К. : Наукова думка, 1966. – 249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української культури / [гол. ред. Я. Д. Ісаєвич]. – К. : Наукова думка, – 2001– . – Т. 2 : Українська культура XIII–першої половини XVII століть. – 2001. – 847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Литвинов В. Д. Україна в пошуках своєї ідентичності, XVI–початок XVII століття : історико-філософський нарис / В. Д. Литвинов ; Національна академія наук України ; Відділення релігієзнавства Інституту філософії ім. Г. С. Сковороди. – К. : Наукова думка, 2008. – 528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Любченко В. Ф. Львівська скульптура XIV–XVII століть / В. Ф. Любченко. – К. : Наукова думка, 1981. – 214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Мельник І. Львівське середмістя : всі вулиці, площі, храми й кам’яниці / Ігор Мельник. – Львів : Апріорі, 2011. – 318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Овсійчук В. А. Українське мистецтво XIV–першої половини XVII століття / В. А. Овсійчук. – К. : Мистецтво, 1985. – 168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Скоп Л. Українське церковне малярство в Галичині : техніка та технологія XV– XVIII століть / Лев Скоп ; Музей «Дрогобиччина» ; Творче об’єднання «Кактус». –Дрогобич : Коло, 2013. – 191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/>
              <w:pBdr/>
              <w:shd w:val="clear" w:fill="auto"/>
              <w:spacing w:lineRule="auto" w:line="240" w:before="240" w:after="6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Брейнстормінг: гуманізм українського Ренесансу та сьогодення.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5/29.09/2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Тема. Культура України другої половини XVII–XVIII 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Запорожці : до історії козацької культури / [ред. Ю. Косенко]. – К. : Мистецтво, 1993. – 396 с. 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української культури / [гол. ред. В. А. Смолій]. – К. : Наукова думка, – 2001– . – Т. 3 : Українська культура другої половини XVII-XVIII століть. – 2003. – 1246 с. 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Моздир М. Володимир Лупійчук – співець українського козацтва / Микола Моздир ; Інститут народознавства НАН України. – Львів : Інститут народознавства НАН України, 2005. – 143 с.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Павленко С. Іван Мазепа як будівничий української культури / Сергій Павленко. – К. : Видавничий дім «КМ Академія», 2005. – 300 с. 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Таранушенко   С.   Архітектура   урядових   будівель    Гетьманщини    XVIII  ст. / Стефан Таранушенко. – Х. : Харківський приватний  музей  міської  садиби, 2013. – 140 с.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Українське бароко та європейський контекст : архітектура ; образотворче мистецтво ; театр і музика / [ред. кол. О. Г. Костюк та ін.]. – К. : Наукова  думка, 1991. – 256 с. </w:t>
            </w:r>
          </w:p>
          <w:p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Lewin P. Ukrainian drama and  theater  in  the  seventeenth  and  eighteenth  centuries / Paulina Lewin. – Edmonton : Canadian Institute of Ukrainian Studies Press, 2008. – 218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Аналіз особливостей українського Бароко за допомогою методу «Рольові ігри».</w:t>
            </w:r>
          </w:p>
          <w:p>
            <w:pPr>
              <w:pStyle w:val="Normal1"/>
              <w:spacing w:lineRule="auto" w:line="240" w:before="280" w:after="280"/>
              <w:rPr/>
            </w:pPr>
            <w:r>
              <w:rPr>
                <w:sz w:val="24"/>
                <w:szCs w:val="24"/>
              </w:rPr>
              <w:t>2. Дискусія на тему «Феномен козацького бароко».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6/04.10/2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Ренесанс в українській культурі.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7/13.10/2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Суспільно- історичні умови та культурне життя в Україні наприкінці ХVІІІ–на початку ХХ 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6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часів Маркіяна Шашкевича : (львівське мистецтво першої половини століття) : каталог виставки : графіка ; живопис ; скульптура ; ужиткове мистецтво  :  із  львівських  збірок / [упор.  С.   Малець,   С.   Костюк].   –   Львів : Львівська наукова бібліотека ім. В. Стефаника, 1992. – 54 с.</w:t>
            </w:r>
          </w:p>
          <w:p>
            <w:pPr>
              <w:pStyle w:val="Normal1"/>
              <w:numPr>
                <w:ilvl w:val="0"/>
                <w:numId w:val="6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української культури / [гол. ред. Г. А. Скрипник]. – К. : Наукова думка, – 2001– . – Т. 4, кн. 1 : Українська культура першої половини XIX століття. – 2008. – 1008 с. Т. 4, кн. 2 : Українська культура другої половини ХІХ століття. – 2005. – 1295 с. </w:t>
            </w:r>
          </w:p>
          <w:p>
            <w:pPr>
              <w:pStyle w:val="Normal1"/>
              <w:numPr>
                <w:ilvl w:val="0"/>
                <w:numId w:val="6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Овсійчук В. Класицизм і романтизм в українському мистецтві / Володимир Овсійчук. – К. : Дніпро, 2001. – 447 с. </w:t>
            </w:r>
          </w:p>
          <w:p>
            <w:pPr>
              <w:pStyle w:val="Normal1"/>
              <w:numPr>
                <w:ilvl w:val="0"/>
                <w:numId w:val="6"/>
              </w:numPr>
              <w:tabs>
                <w:tab w:val="clear" w:pos="720"/>
                <w:tab w:val="left" w:pos="37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Чорній С. Карпенко-Карий і театр / Степан Чорній. – Мюнхен : Український Вільний Університет, 1978. 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1.Короткий термінологічний диктант.</w:t>
            </w:r>
          </w:p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Визначити основні здобутки української культури в період Національно-культурного відродження (за допомогою методу «Логічний ланцюжок»).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7/15.10/2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Тема. Культура України другої половини XVII– XVIII 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8/18.10/2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Суспільно- історичні умови та культурне життя в Україні наприкінці ХVІІІ–на початку ХХ 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/27.10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Особливості розвитку української культури у ХХ 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Бірюльов Ю. Мистецтво львівської сецесії / Юрій Бірюльов. – Львів : Центр Європи, 2005. – 184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Брюховецька Л. Приховані фільми : українське кіно 1990-х / Лариса Брюховецька. – К. : АртЕк, 2003. – 382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Голубець О. Мистецтво XX століття : український шлях / Орест Голубець. – Львів : Колір ПРО, 2012. – 199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Горинь Б. Олександр Архипенко / Богдан Горинь. – К. : Атлант ЮЕмСі, 2007. – 63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Єрмакова Н. Березільська культура : історія, досвід / Наталя Єрмакова ; Національна академія мистецтв України, Інститут проблем сучасного мистецтва. – К. : Фенікс, 2012. – 509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Ідеї, смисли, інтерпретації образотворчого мистецтва : українська теоретична думка XX століття : антологія. Ч. 1. Ч. 2 / [упор. Р. М. Яців]. – Львів : Львівська національна академія мистецтв, 2012.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Красильникова О. В. Історія українського театру ХХ сторіччя / О. В. Красильникова. – К. : Либідь, 1999. – 208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Лесь Курбас у театральній діяльності, в оцінках сучасників : документи / [ред. В. Ревуцький]. – Балтимор ; Торонто : Смолоскип, 1989. – 1026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Макарик І. Перетворення Шекспіра : Лесь Курбас, український модернізм і радянська культурна політика 1920-х років / Ірина Макарик.  –  К. : Ніка- Центр, 2010. – 347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Малаков Д.  Архітектор Городецький : архівні розвідки / Дмитро Малаков.  –  К. : Кий, 1999. – 239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Мистецтво української діаспори 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– К. : Тріумф, 1998. – 382 с. Випуск 1.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Мусієнко О. С. Українське кіно : тексти і контекст / О. С. Мусієнко. – Вінниця : Глобус-Прес, 2009. – 415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Поетичне кіно : заборонена школа : пам’яті Івана Миколайчука. – К. : АртЕк ; Редакція журналу «Кіно-Театр», 2001. – 464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Скібіцька Т. Київський архітектурний модерн (1900–1910-і роки) / Тетяна Скібіцька. – Львів : Центр Європи, 2011. – 231с.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Стельмащук С. У світі звуків і слова : про діячів української культури другої половини XX століття / Степан Стельмащук. – Львів : Видавництво Тараса Сороки, 2009. – 319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Чепелик В. В. Український архітектурний модерн / [упор. З. В. Мойсеєнко- Чепелик]. – К. : КНУБА, 2000. – 378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Яців Р. Українське мистецтво XX століття : ідеї, явища, персоналії : збірник статей / Р. Яців. – Львів : Інститут народознавства, 2006. – 349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0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Archipenko : international visionary / [edited by Donald H. Karshan]. – Washington : Smithsonian Institution Press, 1969. – 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 За допомогою методу «Акваріум» визначити основні досягнення української культури у XX ст.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8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Опрацювати працю Л. Костенко «Гуманітарна аура нації або дефект головного дзеркала».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Відвідини культурно-мистецьких заходів.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0/01.11/2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Особливості розвитку української культури у ХХ 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/10.11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Сучасний соціокультурний простір України.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Булат Т. Світ Миколи Лисенка : національна ідентичність, музика і політика України   XIX–початку   XX   століття / Т.   Булат,   Т.   Філенко.   –   Нью-  Йорк : Українська Вільна Академія Наук у США. – 408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Голубець О. Між свободою і тоталітаризмом : мистецьке середовище Львова другої половини ХХ століття / О. Голубець ; Львівська Академія Мистецтв. – Львів : Академічний експрес, 2001. – 176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Жіночий образ у сучасному українському мистецтві / [упор. Л. Черватюк]. – К. : Навчальна книга, 2007. – 317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Імпресіонізм і Україна / [упор. О. Жбанкова]. – К. : Галерея, 2011. – 238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української культури. / [гол. ред. М. Г. Жулинський]. – К. : Наукова думка, – 2001– . – Т. 5, кн. 1 : Українська культура XX–початку XXI століть. – 2011. – 862 с. Т. 5, кн. 2 : Українська культура XX–початку XXI століть. – 2011. – 1031 с. Т.5, кн. 4 : Українська культура ХХ–початку ХХІ століть. Проблеми функціонування, збереження і розвитку культури в Україні. – 2013. – 941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Карась А. Філософія громадянського суспільства в класичних теоріях і некласичних баченнях : монографія. – К. ; Львів : Видавничий центр ЛНУ імені Івана Франка, 2003. – 520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Кравченко  Б.  Соціальні  зміни  і   національна   свідомість   в   Україні   ХХ  ст. / Богдан Кравченко ; [пер. з англ. В. Івашко, В. Корнієнко]. – К. : Основи, 1997. – 423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Петрова О. Мистецтвознавчі рефлексії : історія, теорія та критика образотворчого мистецтва 70-х років ХХ століття–початку ХХІ століття : збірка статей / Ольга Петрова ; Національний університет «Києво-Могилянська академія». – К. : Видавничий дім «КМ Академія», 2004. – 397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Степико М. Т. Українська ідентичність : феномен і засади формування : монографія / М. Т. Степико. – К. : НІСД, 2011. – 336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Степовик Д. Нова українська ікона XX і початку XXI століть : традиційна іконографія та нова стилістика / Дмитро Степовик. – Жовква : Місіонер, 2012. – 286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Українське мистецтво у полікультурному просторі : навч. посіб. / [ред. О. П. Рудницька]. – К. : ЕксОб, 2000. – 205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Черкес Б. Національна ідентичність в архітектурі міста / Богдан Черкес ; Національний університет «Львівська політехніка». – Львів : Львівська політехніка, 2008. – 266 с.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 Дискусія на тему: «Які цінності віддзеркалює сучасна культура?».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Аналіз розвитку сучасної літератури (наукові статті на вибір).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8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Формування таблиці ключових здобутків матеріальної та духовної культури українського народу.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2/15.11/2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Сучасний соціокультурний простір 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/24.11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Українська та світова 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Грушевський М. Хто такі українці і чого вони хочуть / Михайло Грушевський. – К. : Т-во «Знання», 1991. – 240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Донченко О. Архетипи соціального життя і політика : (глибинні регулятиви психополітичного повсякдення) / О. Донченко, Ю. Романенко. – К. : Либідь, 2001. – 334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Економічні , соціальні й культурні права / [ред. А. Ейде, К. Краузе, А Розаса ; пер. з англ. Г. Є. Краснокутський ; наук. ред. Г. І. Чанишева]. – О. : АО Бахва, 2006. – 728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Звичаї українського народу / [упор. Н. Павленко]. – К. : Вета-Прес, 2007. – 124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Косміна О. Традиційне вбрання українців : в 2 т. / Оксана Косміна. – К. : Балтія-Друк, 2007– . – Т. 1 : Лісостеп ; Степ. – 2007. – 157 с. Т. 2 : Полісся ; Карпати. – 2009. – 157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Культурологія : навч. посіб. для студ. вищ. навч. закл. / С. Абрамович, М. Тілло, М. Чікарьова ; Київський національний торговельно-економічний університет, Чернівецький торговельно-економічний інститут. – К. : Кондор, 2005. – 347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Лютий Т. Культура масова і популярна : теорії та практики / Т. Лютий, О. Ярош ; Інститут філософії імені Г. С. Сковороди Національної Академії наук України. – К. : Україна, 2007. – 123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Посацький Б. Простір міста і міська культура : (на зламі XX–XXI ст.) / Б. С. Посацький. – Львів : Львівська політехніка, 2007. – 207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Сторі Дж. Теорія культури та масова культура : вступний курс / Джон Сторі ; [пер. з англ. Сергій Савченко]. – Х. : Акта, 2005. – 357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Українські митці у світі : матеріали до історії українського мистецтва ХХ століття / [автор-упор. Г. Стельмащук]. – Львів : Апріорі, 2013. – 516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Шедеври українського живопису : альбом / [упор. Д. Горбачов]. – К. : Мистецтво, 2008. – 602 с.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Визначення внеску українських діячів у світову культуру (за допомогою методу Case-study).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4/29.11/2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Українська та світова 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567" w:leader="none"/>
              </w:tabs>
              <w:spacing w:lineRule="auto" w:line="240" w:before="0" w:after="0"/>
              <w:ind w:left="0" w:right="0" w:firstLine="9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4"/>
      <w:type w:val="nextPage"/>
      <w:pgSz w:orient="landscape" w:w="15840" w:h="12240"/>
      <w:pgMar w:left="899" w:right="1134" w:header="0" w:top="1134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Gungsuh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1">
    <w:name w:val="Heading 1"/>
    <w:basedOn w:val="Style24"/>
    <w:next w:val="Style24"/>
    <w:qFormat/>
    <w:pPr>
      <w:keepNext w:val="true"/>
      <w:suppressAutoHyphens w:val="true"/>
      <w:spacing w:lineRule="atLeast" w:line="1" w:before="240" w:after="60"/>
      <w:textAlignment w:val="top"/>
      <w:outlineLvl w:val="0"/>
    </w:pPr>
    <w:rPr>
      <w:rFonts w:ascii="Cambria" w:hAnsi="Cambria" w:cs="Cambria"/>
      <w:b/>
      <w:bCs w:val="false"/>
      <w:color w:val="000000"/>
      <w:w w:val="100"/>
      <w:position w:val="0"/>
      <w:sz w:val="32"/>
      <w:sz w:val="32"/>
      <w:szCs w:val="32"/>
      <w:effect w:val="none"/>
      <w:vertAlign w:val="baseline"/>
      <w:em w:val="none"/>
      <w:lang w:val="en-US" w:eastAsia="en-US" w:bidi="ar-SA"/>
    </w:rPr>
  </w:style>
  <w:style w:type="paragraph" w:styleId="2">
    <w:name w:val="Heading 2"/>
    <w:basedOn w:val="Style24"/>
    <w:qFormat/>
    <w:pPr>
      <w:suppressAutoHyphens w:val="true"/>
      <w:spacing w:lineRule="atLeast" w:line="1" w:beforeAutospacing="1" w:afterAutospacing="1"/>
      <w:textAlignment w:val="top"/>
      <w:outlineLvl w:val="1"/>
    </w:pPr>
    <w:rPr>
      <w:b/>
      <w:bCs w:val="false"/>
      <w:color w:val="000000"/>
      <w:w w:val="100"/>
      <w:position w:val="0"/>
      <w:sz w:val="36"/>
      <w:sz w:val="36"/>
      <w:szCs w:val="36"/>
      <w:effect w:val="none"/>
      <w:vertAlign w:val="baseline"/>
      <w:em w:val="none"/>
      <w:lang w:val="und" w:eastAsia="und" w:bidi="ar-SA"/>
    </w:rPr>
  </w:style>
  <w:style w:type="paragraph" w:styleId="3">
    <w:name w:val="Heading 3"/>
    <w:basedOn w:val="Style24"/>
    <w:next w:val="Style24"/>
    <w:qFormat/>
    <w:pPr>
      <w:keepNext w:val="true"/>
      <w:suppressAutoHyphens w:val="true"/>
      <w:spacing w:lineRule="atLeast" w:line="1" w:before="240" w:after="60"/>
      <w:textAlignment w:val="top"/>
      <w:outlineLvl w:val="2"/>
    </w:pPr>
    <w:rPr>
      <w:rFonts w:ascii="Cambria" w:hAnsi="Cambria" w:cs="Cambria"/>
      <w:b/>
      <w:bCs w:val="false"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n-US" w:eastAsia="en-US" w:bidi="ar-SA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Шрифт абзацу за промовчанням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Номер сторінки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0">
    <w:name w:val="Гіперпосилання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horttext">
    <w:name w:val="short_text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Hps">
    <w:name w:val="hps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1">
    <w:name w:val="Строгий"/>
    <w:qFormat/>
    <w:rPr>
      <w:b/>
      <w:bCs w:val="false"/>
      <w:w w:val="100"/>
      <w:position w:val="0"/>
      <w:sz w:val="20"/>
      <w:effect w:val="none"/>
      <w:vertAlign w:val="baseline"/>
      <w:em w:val="none"/>
    </w:rPr>
  </w:style>
  <w:style w:type="character" w:styleId="Treb">
    <w:name w:val="treb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Instancename">
    <w:name w:val="instancenam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11">
    <w:name w:val="Знак Знак1"/>
    <w:qFormat/>
    <w:rPr>
      <w:b/>
      <w:bCs w:val="false"/>
      <w:w w:val="100"/>
      <w:position w:val="0"/>
      <w:sz w:val="36"/>
      <w:sz w:val="36"/>
      <w:szCs w:val="36"/>
      <w:effect w:val="none"/>
      <w:vertAlign w:val="baseline"/>
      <w:em w:val="none"/>
    </w:rPr>
  </w:style>
  <w:style w:type="character" w:styleId="21">
    <w:name w:val="Знак Знак2"/>
    <w:qFormat/>
    <w:rPr>
      <w:rFonts w:ascii="Cambria" w:hAnsi="Cambria" w:eastAsia="Times New Roman" w:cs="Times New Roman"/>
      <w:b/>
      <w:bCs w:val="false"/>
      <w:w w:val="100"/>
      <w:kern w:val="2"/>
      <w:position w:val="0"/>
      <w:sz w:val="32"/>
      <w:sz w:val="32"/>
      <w:szCs w:val="32"/>
      <w:effect w:val="none"/>
      <w:vertAlign w:val="baseline"/>
      <w:em w:val="none"/>
      <w:lang w:val="en-US" w:eastAsia="en-US"/>
    </w:rPr>
  </w:style>
  <w:style w:type="character" w:styleId="Articlealttitle">
    <w:name w:val="articlealttitl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2">
    <w:name w:val="Знак Знак"/>
    <w:qFormat/>
    <w:rPr>
      <w:rFonts w:ascii="Cambria" w:hAnsi="Cambria" w:eastAsia="Times New Roman" w:cs="Times New Roman"/>
      <w:b/>
      <w:bCs w:val="false"/>
      <w:w w:val="100"/>
      <w:position w:val="0"/>
      <w:sz w:val="26"/>
      <w:sz w:val="26"/>
      <w:szCs w:val="26"/>
      <w:effect w:val="none"/>
      <w:vertAlign w:val="baseline"/>
      <w:em w:val="none"/>
      <w:lang w:val="en-US" w:eastAsia="en-US"/>
    </w:rPr>
  </w:style>
  <w:style w:type="character" w:styleId="Accesshide">
    <w:name w:val="accesshid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">
    <w:name w:val="st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3">
    <w:name w:val="Виділення"/>
    <w:qFormat/>
    <w:rPr>
      <w:i/>
      <w:iCs w:val="false"/>
      <w:w w:val="100"/>
      <w:position w:val="0"/>
      <w:sz w:val="20"/>
      <w:effect w:val="none"/>
      <w:vertAlign w:val="baseline"/>
      <w:em w:val="none"/>
    </w:rPr>
  </w:style>
  <w:style w:type="character" w:styleId="Style14">
    <w:name w:val="Текст у виносці Знак"/>
    <w:qFormat/>
    <w:rPr>
      <w:rFonts w:ascii="Segoe UI" w:hAnsi="Segoe UI" w:cs="Segoe UI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en-US" w:eastAsia="en-US"/>
    </w:rPr>
  </w:style>
  <w:style w:type="character" w:styleId="Citation">
    <w:name w:val="citation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5">
    <w:name w:val="Текст виноски Знак"/>
    <w:qFormat/>
    <w:rPr>
      <w:w w:val="100"/>
      <w:position w:val="0"/>
      <w:sz w:val="20"/>
      <w:effect w:val="none"/>
      <w:vertAlign w:val="baseline"/>
      <w:em w:val="none"/>
      <w:lang w:eastAsia="en-US"/>
    </w:rPr>
  </w:style>
  <w:style w:type="character" w:styleId="Colb">
    <w:name w:val="colb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6">
    <w:name w:val="Основний текст з відступом Знак"/>
    <w:qFormat/>
    <w:rPr>
      <w:b/>
      <w:bCs/>
      <w:w w:val="100"/>
      <w:position w:val="0"/>
      <w:sz w:val="28"/>
      <w:sz w:val="28"/>
      <w:szCs w:val="28"/>
      <w:effect w:val="none"/>
      <w:vertAlign w:val="baseline"/>
      <w:em w:val="none"/>
      <w:lang w:eastAsia="ru-RU"/>
    </w:rPr>
  </w:style>
  <w:style w:type="character" w:styleId="Style17">
    <w:name w:val="Незакрита згадка"/>
    <w:qFormat/>
    <w:rPr>
      <w:color w:val="605E5C"/>
      <w:w w:val="100"/>
      <w:position w:val="0"/>
      <w:sz w:val="20"/>
      <w:effect w:val="none"/>
      <w:shd w:fill="E1DFDD" w:val="clear"/>
      <w:vertAlign w:val="baseline"/>
      <w:em w:val="none"/>
    </w:rPr>
  </w:style>
  <w:style w:type="character" w:styleId="Il">
    <w:name w:val="il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0"/>
      <w:vertAlign w:val="baseline"/>
    </w:rPr>
  </w:style>
  <w:style w:type="character" w:styleId="ListLabel12">
    <w:name w:val="ListLabel 12"/>
    <w:qFormat/>
    <w:rPr>
      <w:position w:val="0"/>
      <w:sz w:val="20"/>
      <w:vertAlign w:val="baseline"/>
    </w:rPr>
  </w:style>
  <w:style w:type="character" w:styleId="ListLabel13">
    <w:name w:val="ListLabel 13"/>
    <w:qFormat/>
    <w:rPr>
      <w:position w:val="0"/>
      <w:sz w:val="20"/>
      <w:vertAlign w:val="baseline"/>
    </w:rPr>
  </w:style>
  <w:style w:type="character" w:styleId="ListLabel14">
    <w:name w:val="ListLabel 14"/>
    <w:qFormat/>
    <w:rPr>
      <w:position w:val="0"/>
      <w:sz w:val="20"/>
      <w:vertAlign w:val="baseline"/>
    </w:rPr>
  </w:style>
  <w:style w:type="character" w:styleId="ListLabel15">
    <w:name w:val="ListLabel 15"/>
    <w:qFormat/>
    <w:rPr>
      <w:position w:val="0"/>
      <w:sz w:val="20"/>
      <w:vertAlign w:val="baseline"/>
    </w:rPr>
  </w:style>
  <w:style w:type="character" w:styleId="ListLabel16">
    <w:name w:val="ListLabel 16"/>
    <w:qFormat/>
    <w:rPr>
      <w:position w:val="0"/>
      <w:sz w:val="20"/>
      <w:vertAlign w:val="baseline"/>
    </w:rPr>
  </w:style>
  <w:style w:type="character" w:styleId="ListLabel17">
    <w:name w:val="ListLabel 17"/>
    <w:qFormat/>
    <w:rPr>
      <w:position w:val="0"/>
      <w:sz w:val="20"/>
      <w:vertAlign w:val="baseline"/>
    </w:rPr>
  </w:style>
  <w:style w:type="character" w:styleId="ListLabel18">
    <w:name w:val="ListLabel 18"/>
    <w:qFormat/>
    <w:rPr>
      <w:position w:val="0"/>
      <w:sz w:val="20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vertAlign w:val="baseline"/>
    </w:rPr>
  </w:style>
  <w:style w:type="character" w:styleId="ListLabel21">
    <w:name w:val="ListLabel 21"/>
    <w:qFormat/>
    <w:rPr>
      <w:position w:val="0"/>
      <w:sz w:val="20"/>
      <w:vertAlign w:val="baseline"/>
    </w:rPr>
  </w:style>
  <w:style w:type="character" w:styleId="ListLabel22">
    <w:name w:val="ListLabel 22"/>
    <w:qFormat/>
    <w:rPr>
      <w:position w:val="0"/>
      <w:sz w:val="20"/>
      <w:vertAlign w:val="baseline"/>
    </w:rPr>
  </w:style>
  <w:style w:type="character" w:styleId="ListLabel23">
    <w:name w:val="ListLabel 23"/>
    <w:qFormat/>
    <w:rPr>
      <w:position w:val="0"/>
      <w:sz w:val="20"/>
      <w:vertAlign w:val="baseline"/>
    </w:rPr>
  </w:style>
  <w:style w:type="character" w:styleId="ListLabel24">
    <w:name w:val="ListLabel 24"/>
    <w:qFormat/>
    <w:rPr>
      <w:position w:val="0"/>
      <w:sz w:val="20"/>
      <w:vertAlign w:val="baseline"/>
    </w:rPr>
  </w:style>
  <w:style w:type="character" w:styleId="ListLabel25">
    <w:name w:val="ListLabel 25"/>
    <w:qFormat/>
    <w:rPr>
      <w:position w:val="0"/>
      <w:sz w:val="20"/>
      <w:vertAlign w:val="baseline"/>
    </w:rPr>
  </w:style>
  <w:style w:type="character" w:styleId="ListLabel26">
    <w:name w:val="ListLabel 26"/>
    <w:qFormat/>
    <w:rPr>
      <w:position w:val="0"/>
      <w:sz w:val="20"/>
      <w:vertAlign w:val="baseline"/>
    </w:rPr>
  </w:style>
  <w:style w:type="character" w:styleId="ListLabel27">
    <w:name w:val="ListLabel 27"/>
    <w:qFormat/>
    <w:rPr>
      <w:position w:val="0"/>
      <w:sz w:val="20"/>
      <w:vertAlign w:val="baseline"/>
    </w:rPr>
  </w:style>
  <w:style w:type="character" w:styleId="ListLabel28">
    <w:name w:val="ListLabel 28"/>
    <w:qFormat/>
    <w:rPr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0"/>
      <w:vertAlign w:val="baseline"/>
    </w:rPr>
  </w:style>
  <w:style w:type="character" w:styleId="ListLabel30">
    <w:name w:val="ListLabel 30"/>
    <w:qFormat/>
    <w:rPr>
      <w:position w:val="0"/>
      <w:sz w:val="20"/>
      <w:vertAlign w:val="baseline"/>
    </w:rPr>
  </w:style>
  <w:style w:type="character" w:styleId="ListLabel31">
    <w:name w:val="ListLabel 31"/>
    <w:qFormat/>
    <w:rPr>
      <w:position w:val="0"/>
      <w:sz w:val="20"/>
      <w:vertAlign w:val="baseline"/>
    </w:rPr>
  </w:style>
  <w:style w:type="character" w:styleId="ListLabel32">
    <w:name w:val="ListLabel 32"/>
    <w:qFormat/>
    <w:rPr>
      <w:position w:val="0"/>
      <w:sz w:val="20"/>
      <w:vertAlign w:val="baseline"/>
    </w:rPr>
  </w:style>
  <w:style w:type="character" w:styleId="ListLabel33">
    <w:name w:val="ListLabel 33"/>
    <w:qFormat/>
    <w:rPr>
      <w:position w:val="0"/>
      <w:sz w:val="20"/>
      <w:vertAlign w:val="baseline"/>
    </w:rPr>
  </w:style>
  <w:style w:type="character" w:styleId="ListLabel34">
    <w:name w:val="ListLabel 34"/>
    <w:qFormat/>
    <w:rPr>
      <w:position w:val="0"/>
      <w:sz w:val="20"/>
      <w:vertAlign w:val="baseline"/>
    </w:rPr>
  </w:style>
  <w:style w:type="character" w:styleId="ListLabel35">
    <w:name w:val="ListLabel 35"/>
    <w:qFormat/>
    <w:rPr>
      <w:position w:val="0"/>
      <w:sz w:val="20"/>
      <w:vertAlign w:val="baseline"/>
    </w:rPr>
  </w:style>
  <w:style w:type="character" w:styleId="ListLabel36">
    <w:name w:val="ListLabel 36"/>
    <w:qFormat/>
    <w:rPr>
      <w:position w:val="0"/>
      <w:sz w:val="20"/>
      <w:vertAlign w:val="baseline"/>
    </w:rPr>
  </w:style>
  <w:style w:type="character" w:styleId="ListLabel37">
    <w:name w:val="ListLabel 37"/>
    <w:qFormat/>
    <w:rPr>
      <w:position w:val="0"/>
      <w:sz w:val="24"/>
      <w:sz w:val="24"/>
      <w:vertAlign w:val="baseline"/>
    </w:rPr>
  </w:style>
  <w:style w:type="character" w:styleId="ListLabel38">
    <w:name w:val="ListLabel 38"/>
    <w:qFormat/>
    <w:rPr>
      <w:position w:val="0"/>
      <w:sz w:val="20"/>
      <w:vertAlign w:val="baseline"/>
    </w:rPr>
  </w:style>
  <w:style w:type="character" w:styleId="ListLabel39">
    <w:name w:val="ListLabel 39"/>
    <w:qFormat/>
    <w:rPr>
      <w:position w:val="0"/>
      <w:sz w:val="20"/>
      <w:vertAlign w:val="baseline"/>
    </w:rPr>
  </w:style>
  <w:style w:type="character" w:styleId="ListLabel40">
    <w:name w:val="ListLabel 40"/>
    <w:qFormat/>
    <w:rPr>
      <w:position w:val="0"/>
      <w:sz w:val="20"/>
      <w:vertAlign w:val="baseline"/>
    </w:rPr>
  </w:style>
  <w:style w:type="character" w:styleId="ListLabel41">
    <w:name w:val="ListLabel 41"/>
    <w:qFormat/>
    <w:rPr>
      <w:position w:val="0"/>
      <w:sz w:val="20"/>
      <w:vertAlign w:val="baseline"/>
    </w:rPr>
  </w:style>
  <w:style w:type="character" w:styleId="ListLabel42">
    <w:name w:val="ListLabel 42"/>
    <w:qFormat/>
    <w:rPr>
      <w:position w:val="0"/>
      <w:sz w:val="20"/>
      <w:vertAlign w:val="baseline"/>
    </w:rPr>
  </w:style>
  <w:style w:type="character" w:styleId="ListLabel43">
    <w:name w:val="ListLabel 43"/>
    <w:qFormat/>
    <w:rPr>
      <w:position w:val="0"/>
      <w:sz w:val="20"/>
      <w:vertAlign w:val="baseline"/>
    </w:rPr>
  </w:style>
  <w:style w:type="character" w:styleId="ListLabel44">
    <w:name w:val="ListLabel 44"/>
    <w:qFormat/>
    <w:rPr>
      <w:position w:val="0"/>
      <w:sz w:val="20"/>
      <w:vertAlign w:val="baseline"/>
    </w:rPr>
  </w:style>
  <w:style w:type="character" w:styleId="ListLabel45">
    <w:name w:val="ListLabel 45"/>
    <w:qFormat/>
    <w:rPr>
      <w:position w:val="0"/>
      <w:sz w:val="20"/>
      <w:vertAlign w:val="baseline"/>
    </w:rPr>
  </w:style>
  <w:style w:type="character" w:styleId="ListLabel46">
    <w:name w:val="ListLabel 46"/>
    <w:qFormat/>
    <w:rPr>
      <w:position w:val="0"/>
      <w:sz w:val="24"/>
      <w:sz w:val="24"/>
      <w:vertAlign w:val="baseline"/>
    </w:rPr>
  </w:style>
  <w:style w:type="character" w:styleId="ListLabel47">
    <w:name w:val="ListLabel 47"/>
    <w:qFormat/>
    <w:rPr>
      <w:position w:val="0"/>
      <w:sz w:val="20"/>
      <w:vertAlign w:val="baseline"/>
    </w:rPr>
  </w:style>
  <w:style w:type="character" w:styleId="ListLabel48">
    <w:name w:val="ListLabel 48"/>
    <w:qFormat/>
    <w:rPr>
      <w:position w:val="0"/>
      <w:sz w:val="20"/>
      <w:vertAlign w:val="baseline"/>
    </w:rPr>
  </w:style>
  <w:style w:type="character" w:styleId="ListLabel49">
    <w:name w:val="ListLabel 49"/>
    <w:qFormat/>
    <w:rPr>
      <w:position w:val="0"/>
      <w:sz w:val="20"/>
      <w:vertAlign w:val="baseline"/>
    </w:rPr>
  </w:style>
  <w:style w:type="character" w:styleId="ListLabel50">
    <w:name w:val="ListLabel 50"/>
    <w:qFormat/>
    <w:rPr>
      <w:position w:val="0"/>
      <w:sz w:val="20"/>
      <w:vertAlign w:val="baseline"/>
    </w:rPr>
  </w:style>
  <w:style w:type="character" w:styleId="ListLabel51">
    <w:name w:val="ListLabel 51"/>
    <w:qFormat/>
    <w:rPr>
      <w:position w:val="0"/>
      <w:sz w:val="20"/>
      <w:vertAlign w:val="baseline"/>
    </w:rPr>
  </w:style>
  <w:style w:type="character" w:styleId="ListLabel52">
    <w:name w:val="ListLabel 52"/>
    <w:qFormat/>
    <w:rPr>
      <w:position w:val="0"/>
      <w:sz w:val="20"/>
      <w:vertAlign w:val="baseline"/>
    </w:rPr>
  </w:style>
  <w:style w:type="character" w:styleId="ListLabel53">
    <w:name w:val="ListLabel 53"/>
    <w:qFormat/>
    <w:rPr>
      <w:position w:val="0"/>
      <w:sz w:val="20"/>
      <w:vertAlign w:val="baseline"/>
    </w:rPr>
  </w:style>
  <w:style w:type="character" w:styleId="ListLabel54">
    <w:name w:val="ListLabel 54"/>
    <w:qFormat/>
    <w:rPr>
      <w:position w:val="0"/>
      <w:sz w:val="20"/>
      <w:vertAlign w:val="baseline"/>
    </w:rPr>
  </w:style>
  <w:style w:type="character" w:styleId="ListLabel55">
    <w:name w:val="ListLabel 55"/>
    <w:qFormat/>
    <w:rPr>
      <w:sz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4"/>
      <w:sz w:val="24"/>
      <w:vertAlign w:val="baseline"/>
    </w:rPr>
  </w:style>
  <w:style w:type="character" w:styleId="ListLabel65">
    <w:name w:val="ListLabel 65"/>
    <w:qFormat/>
    <w:rPr>
      <w:position w:val="0"/>
      <w:sz w:val="20"/>
      <w:vertAlign w:val="baseline"/>
    </w:rPr>
  </w:style>
  <w:style w:type="character" w:styleId="ListLabel66">
    <w:name w:val="ListLabel 66"/>
    <w:qFormat/>
    <w:rPr>
      <w:position w:val="0"/>
      <w:sz w:val="20"/>
      <w:vertAlign w:val="baseline"/>
    </w:rPr>
  </w:style>
  <w:style w:type="character" w:styleId="ListLabel67">
    <w:name w:val="ListLabel 67"/>
    <w:qFormat/>
    <w:rPr>
      <w:position w:val="0"/>
      <w:sz w:val="20"/>
      <w:vertAlign w:val="baseline"/>
    </w:rPr>
  </w:style>
  <w:style w:type="character" w:styleId="ListLabel68">
    <w:name w:val="ListLabel 68"/>
    <w:qFormat/>
    <w:rPr>
      <w:position w:val="0"/>
      <w:sz w:val="20"/>
      <w:vertAlign w:val="baseline"/>
    </w:rPr>
  </w:style>
  <w:style w:type="character" w:styleId="ListLabel69">
    <w:name w:val="ListLabel 69"/>
    <w:qFormat/>
    <w:rPr>
      <w:position w:val="0"/>
      <w:sz w:val="20"/>
      <w:vertAlign w:val="baseline"/>
    </w:rPr>
  </w:style>
  <w:style w:type="character" w:styleId="ListLabel70">
    <w:name w:val="ListLabel 70"/>
    <w:qFormat/>
    <w:rPr>
      <w:position w:val="0"/>
      <w:sz w:val="20"/>
      <w:vertAlign w:val="baseline"/>
    </w:rPr>
  </w:style>
  <w:style w:type="character" w:styleId="ListLabel71">
    <w:name w:val="ListLabel 71"/>
    <w:qFormat/>
    <w:rPr>
      <w:position w:val="0"/>
      <w:sz w:val="20"/>
      <w:vertAlign w:val="baseline"/>
    </w:rPr>
  </w:style>
  <w:style w:type="character" w:styleId="ListLabel72">
    <w:name w:val="ListLabel 72"/>
    <w:qFormat/>
    <w:rPr>
      <w:position w:val="0"/>
      <w:sz w:val="20"/>
      <w:vertAlign w:val="baseline"/>
    </w:rPr>
  </w:style>
  <w:style w:type="character" w:styleId="ListLabel73">
    <w:name w:val="ListLabel 73"/>
    <w:qFormat/>
    <w:rPr>
      <w:position w:val="0"/>
      <w:sz w:val="24"/>
      <w:sz w:val="24"/>
      <w:vertAlign w:val="baseline"/>
    </w:rPr>
  </w:style>
  <w:style w:type="character" w:styleId="ListLabel74">
    <w:name w:val="ListLabel 74"/>
    <w:qFormat/>
    <w:rPr>
      <w:position w:val="0"/>
      <w:sz w:val="20"/>
      <w:vertAlign w:val="baseline"/>
    </w:rPr>
  </w:style>
  <w:style w:type="character" w:styleId="ListLabel75">
    <w:name w:val="ListLabel 75"/>
    <w:qFormat/>
    <w:rPr>
      <w:position w:val="0"/>
      <w:sz w:val="20"/>
      <w:vertAlign w:val="baseline"/>
    </w:rPr>
  </w:style>
  <w:style w:type="character" w:styleId="ListLabel76">
    <w:name w:val="ListLabel 76"/>
    <w:qFormat/>
    <w:rPr>
      <w:position w:val="0"/>
      <w:sz w:val="20"/>
      <w:vertAlign w:val="baseline"/>
    </w:rPr>
  </w:style>
  <w:style w:type="character" w:styleId="ListLabel77">
    <w:name w:val="ListLabel 77"/>
    <w:qFormat/>
    <w:rPr>
      <w:position w:val="0"/>
      <w:sz w:val="20"/>
      <w:vertAlign w:val="baseline"/>
    </w:rPr>
  </w:style>
  <w:style w:type="character" w:styleId="ListLabel78">
    <w:name w:val="ListLabel 78"/>
    <w:qFormat/>
    <w:rPr>
      <w:position w:val="0"/>
      <w:sz w:val="20"/>
      <w:vertAlign w:val="baseline"/>
    </w:rPr>
  </w:style>
  <w:style w:type="character" w:styleId="ListLabel79">
    <w:name w:val="ListLabel 79"/>
    <w:qFormat/>
    <w:rPr>
      <w:position w:val="0"/>
      <w:sz w:val="20"/>
      <w:vertAlign w:val="baseline"/>
    </w:rPr>
  </w:style>
  <w:style w:type="character" w:styleId="ListLabel80">
    <w:name w:val="ListLabel 80"/>
    <w:qFormat/>
    <w:rPr>
      <w:position w:val="0"/>
      <w:sz w:val="20"/>
      <w:vertAlign w:val="baseline"/>
    </w:rPr>
  </w:style>
  <w:style w:type="character" w:styleId="ListLabel81">
    <w:name w:val="ListLabel 81"/>
    <w:qFormat/>
    <w:rPr>
      <w:position w:val="0"/>
      <w:sz w:val="20"/>
      <w:vertAlign w:val="baseline"/>
    </w:rPr>
  </w:style>
  <w:style w:type="character" w:styleId="ListLabel82">
    <w:name w:val="ListLabel 82"/>
    <w:qFormat/>
    <w:rPr>
      <w:position w:val="0"/>
      <w:sz w:val="24"/>
      <w:sz w:val="24"/>
      <w:vertAlign w:val="baseline"/>
    </w:rPr>
  </w:style>
  <w:style w:type="character" w:styleId="ListLabel83">
    <w:name w:val="ListLabel 83"/>
    <w:qFormat/>
    <w:rPr>
      <w:position w:val="0"/>
      <w:sz w:val="20"/>
      <w:vertAlign w:val="baseline"/>
    </w:rPr>
  </w:style>
  <w:style w:type="character" w:styleId="ListLabel84">
    <w:name w:val="ListLabel 84"/>
    <w:qFormat/>
    <w:rPr>
      <w:position w:val="0"/>
      <w:sz w:val="20"/>
      <w:vertAlign w:val="baseline"/>
    </w:rPr>
  </w:style>
  <w:style w:type="character" w:styleId="ListLabel85">
    <w:name w:val="ListLabel 85"/>
    <w:qFormat/>
    <w:rPr>
      <w:position w:val="0"/>
      <w:sz w:val="20"/>
      <w:vertAlign w:val="baseline"/>
    </w:rPr>
  </w:style>
  <w:style w:type="character" w:styleId="ListLabel86">
    <w:name w:val="ListLabel 86"/>
    <w:qFormat/>
    <w:rPr>
      <w:position w:val="0"/>
      <w:sz w:val="20"/>
      <w:vertAlign w:val="baseline"/>
    </w:rPr>
  </w:style>
  <w:style w:type="character" w:styleId="ListLabel87">
    <w:name w:val="ListLabel 87"/>
    <w:qFormat/>
    <w:rPr>
      <w:position w:val="0"/>
      <w:sz w:val="20"/>
      <w:vertAlign w:val="baseline"/>
    </w:rPr>
  </w:style>
  <w:style w:type="character" w:styleId="ListLabel88">
    <w:name w:val="ListLabel 88"/>
    <w:qFormat/>
    <w:rPr>
      <w:position w:val="0"/>
      <w:sz w:val="20"/>
      <w:vertAlign w:val="baseline"/>
    </w:rPr>
  </w:style>
  <w:style w:type="character" w:styleId="ListLabel89">
    <w:name w:val="ListLabel 89"/>
    <w:qFormat/>
    <w:rPr>
      <w:position w:val="0"/>
      <w:sz w:val="20"/>
      <w:vertAlign w:val="baseline"/>
    </w:rPr>
  </w:style>
  <w:style w:type="character" w:styleId="ListLabel90">
    <w:name w:val="ListLabel 90"/>
    <w:qFormat/>
    <w:rPr>
      <w:position w:val="0"/>
      <w:sz w:val="20"/>
      <w:vertAlign w:val="baseline"/>
    </w:rPr>
  </w:style>
  <w:style w:type="character" w:styleId="ListLabel91">
    <w:name w:val="ListLabel 91"/>
    <w:qFormat/>
    <w:rPr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single"/>
      <w:shd w:fill="auto" w:val="clear"/>
      <w:vertAlign w:val="baseline"/>
    </w:rPr>
  </w:style>
  <w:style w:type="character" w:styleId="ListLabel92">
    <w:name w:val="ListLabel 92"/>
    <w:qFormat/>
    <w:rPr>
      <w:color w:val="1155CC"/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Style2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24">
    <w:name w:val="Звичайний"/>
    <w:qFormat/>
    <w:pPr>
      <w:widowControl/>
      <w:suppressAutoHyphens w:val="tru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en-US" w:bidi="ar-SA"/>
    </w:rPr>
  </w:style>
  <w:style w:type="paragraph" w:styleId="Style25">
    <w:name w:val="Footer"/>
    <w:basedOn w:val="Style24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en-US" w:eastAsia="en-US" w:bidi="ar-SA"/>
    </w:rPr>
  </w:style>
  <w:style w:type="paragraph" w:styleId="Bullets">
    <w:name w:val="Bullets"/>
    <w:basedOn w:val="Style24"/>
    <w:qFormat/>
    <w:pPr>
      <w:widowControl w:val="false"/>
      <w:tabs>
        <w:tab w:val="clear" w:pos="720"/>
        <w:tab w:val="left" w:pos="0" w:leader="none"/>
        <w:tab w:val="left" w:pos="284" w:leader="none"/>
      </w:tabs>
      <w:suppressAutoHyphens w:val="true"/>
      <w:spacing w:lineRule="atLeast" w:line="1" w:before="60" w:after="0"/>
      <w:ind w:left="284" w:hanging="284"/>
      <w:textAlignment w:val="top"/>
      <w:outlineLvl w:val="0"/>
    </w:pPr>
    <w:rPr>
      <w:color w:val="000000"/>
      <w:w w:val="100"/>
      <w:position w:val="0"/>
      <w:sz w:val="22"/>
      <w:sz w:val="22"/>
      <w:szCs w:val="20"/>
      <w:effect w:val="none"/>
      <w:vertAlign w:val="baseline"/>
      <w:em w:val="none"/>
      <w:lang w:val="en-AU" w:eastAsia="zh-CN" w:bidi="ar-SA"/>
    </w:rPr>
  </w:style>
  <w:style w:type="paragraph" w:styleId="Style26">
    <w:name w:val="Абзац списку"/>
    <w:basedOn w:val="Style24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rFonts w:ascii="Calibri" w:hAnsi="Calibri" w:eastAsia="Calibri" w:cs="Calibri"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tr-TR" w:eastAsia="en-US" w:bidi="ar-SA"/>
    </w:rPr>
  </w:style>
  <w:style w:type="paragraph" w:styleId="Style27">
    <w:name w:val="Звичайний (веб)"/>
    <w:basedOn w:val="Style24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tr-TR" w:eastAsia="tr-TR" w:bidi="ar-SA"/>
    </w:rPr>
  </w:style>
  <w:style w:type="paragraph" w:styleId="Xmsonormal">
    <w:name w:val="x_msonormal"/>
    <w:basedOn w:val="Style24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28">
    <w:name w:val="Текст у виносці"/>
    <w:basedOn w:val="Style24"/>
    <w:qFormat/>
    <w:pPr>
      <w:suppressAutoHyphens w:val="true"/>
      <w:spacing w:lineRule="atLeast" w:line="1"/>
      <w:textAlignment w:val="top"/>
      <w:outlineLvl w:val="0"/>
    </w:pPr>
    <w:rPr>
      <w:rFonts w:ascii="Segoe UI" w:hAnsi="Segoe UI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ar-SA"/>
    </w:rPr>
  </w:style>
  <w:style w:type="paragraph" w:styleId="Style29">
    <w:name w:val="Текст виноски"/>
    <w:basedOn w:val="Style24"/>
    <w:qFormat/>
    <w:pPr>
      <w:suppressAutoHyphens w:val="true"/>
      <w:spacing w:lineRule="atLeast" w:line="1"/>
      <w:textAlignment w:val="top"/>
      <w:outlineLvl w:val="0"/>
    </w:pPr>
    <w:rPr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uk-UA" w:eastAsia="en-US" w:bidi="ar-SA"/>
    </w:rPr>
  </w:style>
  <w:style w:type="paragraph" w:styleId="WW2">
    <w:name w:val="WW-Основной текст 2"/>
    <w:basedOn w:val="Style24"/>
    <w:qFormat/>
    <w:pPr>
      <w:suppressAutoHyphens w:val="false"/>
      <w:spacing w:lineRule="atLeast" w:line="1"/>
      <w:jc w:val="both"/>
      <w:textAlignment w:val="top"/>
      <w:outlineLvl w:val="0"/>
    </w:pPr>
    <w:rPr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ar-SA" w:bidi="ar-SA"/>
    </w:rPr>
  </w:style>
  <w:style w:type="paragraph" w:styleId="WW21">
    <w:name w:val="WW-Основной текст с отступом 2"/>
    <w:basedOn w:val="Style24"/>
    <w:qFormat/>
    <w:pPr>
      <w:suppressAutoHyphens w:val="false"/>
      <w:spacing w:lineRule="atLeast" w:line="1"/>
      <w:ind w:firstLine="709"/>
      <w:jc w:val="both"/>
      <w:textAlignment w:val="top"/>
      <w:outlineLvl w:val="0"/>
    </w:pPr>
    <w:rPr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ar-SA" w:bidi="ar-SA"/>
    </w:rPr>
  </w:style>
  <w:style w:type="paragraph" w:styleId="Style30">
    <w:name w:val="Body Text Indent"/>
    <w:basedOn w:val="Style24"/>
    <w:qFormat/>
    <w:pPr>
      <w:suppressAutoHyphens w:val="true"/>
      <w:spacing w:lineRule="atLeast" w:line="1"/>
      <w:ind w:firstLine="720"/>
      <w:textAlignment w:val="top"/>
      <w:outlineLvl w:val="0"/>
    </w:pPr>
    <w:rPr>
      <w:b/>
      <w:bCs/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ru-RU" w:bidi="ar-SA"/>
    </w:rPr>
  </w:style>
  <w:style w:type="paragraph" w:styleId="Style31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tyle32">
    <w:name w:val="Немає списку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Звичайнатаблиця">
    <w:name w:val="Звичайна таблиця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Сіткатаблиці">
    <w:name w:val="Сітка таблиці"/>
    <w:basedOn w:val="Звичайнатаблиця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ya.kokhanovska@lnu.edu.ua" TargetMode="External"/><Relationship Id="rId3" Type="http://schemas.openxmlformats.org/officeDocument/2006/relationships/hyperlink" Target="https://filos.lnu.edu.ua/employee/kohanovska-mariya-hryhorivna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BkekwzOB3I95j1vopUUuQJF/ZA==">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6</Pages>
  <Words>4249</Words>
  <Characters>25548</Characters>
  <CharactersWithSpaces>30145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2021-02-06T15:37:00Z</dcterms:created>
  <dc:creator>def</dc:creator>
  <dc:description/>
  <dc:language>uk-UA</dc:language>
  <cp:lastModifiedBy/>
  <cp:revision>0</cp:revision>
  <dc:subject/>
  <dc:title/>
</cp:coreProperties>
</file>