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3D5F59" w:rsidRPr="003D5F59" w:rsidRDefault="003D5F59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3D5F59" w:rsidRPr="003D5F59" w:rsidRDefault="003D5F59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3D5F59" w:rsidRPr="003D5F59" w:rsidRDefault="002B04E7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2020</w:t>
      </w:r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3D5F59" w:rsidRPr="003D5F59" w:rsidRDefault="003D5F59" w:rsidP="003D5F5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 w:rsidR="002B0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US"/>
        </w:rPr>
        <w:t>C</w:t>
      </w:r>
      <w:proofErr w:type="spellStart"/>
      <w:r w:rsidR="002B0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амопрезентація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у публічних виступах</w:t>
      </w:r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3D5F59" w:rsidRPr="003D5F59" w:rsidRDefault="003D5F59" w:rsidP="003D5F5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студентів вільного вибору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2B04E7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20</w:t>
      </w:r>
      <w:r w:rsidR="003D5F59" w:rsidRPr="003D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3D5F59" w:rsidRPr="003D5F59" w:rsidRDefault="003D5F59" w:rsidP="003D5F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2B04E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Самопрезентація</w:t>
            </w:r>
            <w:r w:rsidR="003F30A2" w:rsidRPr="003F30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публічних виступах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2B04E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2B04E7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2B04E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2B0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2B04E7" w:rsidP="003F30A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“Самопрезентація</w:t>
            </w:r>
            <w:r w:rsidR="003F30A2" w:rsidRPr="003F30A2">
              <w:rPr>
                <w:rFonts w:ascii="Times New Roman" w:hAnsi="Times New Roman" w:cs="Times New Roman"/>
                <w:lang w:val="uk-UA"/>
              </w:rPr>
              <w:t xml:space="preserve"> у публічних виступах” є дисципліною вільного вибору для студентів друг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ого року навчання Університету. </w:t>
            </w:r>
            <w:r w:rsidR="003F30A2"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3F30A2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2B04E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30A2" w:rsidRPr="006B655E" w:rsidRDefault="003F30A2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Андерсон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Успішні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виступи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TED.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Рецепти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найкращих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спікерів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К.; Наш Формат; 2016.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Выступать легко: Все, что вам нужно знать о речах и презентациях / Макс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— 2-е изд.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Паблишерз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2011. — 293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iПрезентация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Уроки убеждения от лидера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Стива Джобса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Презентации в стиле TED: 9 приемов лучших в мире выступлений / Кармин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Кучково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поле», 2000. — 304 с.</w:t>
            </w:r>
          </w:p>
          <w:p w:rsidR="00184B49" w:rsidRPr="00695033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П. Расскажи, чтобы победить / — </w:t>
            </w:r>
            <w:proofErr w:type="gramStart"/>
            <w:r w:rsidRPr="0069503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>, 2012. — 420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Выступление в стиле TED. Секреты лучших в мире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вдохновля¬ющих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презентаций / Джереми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В.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2013. — 208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Illuminate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говорить вдохновляющие речи и создавать эффективные презентации, способные изменить историю /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», 2016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Resonate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Захвати аудиторию своей яркой историей / пер. с англ. С. Кировой. М.: Манн, Иванов и Фербер, 2012. — 264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Slide:ology</w:t>
            </w:r>
            <w:proofErr w:type="spellEnd"/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Искусство создания выдающихся презентаций / пер. с англ. Елены Смирновой. М.: Манн, Иванов и Фербер, 2012. — 288 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 Риторика: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К.: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., 2003. — 311с.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Пиз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Язык телодвижений. – М., 1995.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Драйв: Что на самом деле нас мотивирует /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Дэниел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Сагач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 Риторика. – К.: Вид.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Юре”, 2000. – 568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Талер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Nudge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Архитектура выбора. Как улучшить наши решения о здоровье, благосостоянии и счастье / Р. Талер, К.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Е. Петровой ; [науч. ред. С. Щербаков]. – </w:t>
            </w:r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2017. – 240 с.</w:t>
            </w:r>
          </w:p>
          <w:p w:rsidR="00184B49" w:rsidRPr="00EC2E98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98">
              <w:rPr>
                <w:rFonts w:ascii="Times New Roman" w:hAnsi="Times New Roman"/>
                <w:sz w:val="24"/>
                <w:szCs w:val="24"/>
              </w:rPr>
              <w:t xml:space="preserve">Трейси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Убеждение. Уверенное выступление в любой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— М.: М</w:t>
            </w:r>
            <w:r>
              <w:rPr>
                <w:rFonts w:ascii="Times New Roman" w:hAnsi="Times New Roman"/>
                <w:sz w:val="24"/>
                <w:szCs w:val="24"/>
              </w:rPr>
              <w:t>анн, Иванов и Фербер, 2015. — 256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Хорн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Как выделить свой бренд из толпы. Подберите идеальное название, слоган и фразу презентацию для чего угодно. Минск: Попурри, 2014.</w:t>
            </w:r>
          </w:p>
          <w:p w:rsidR="00184B49" w:rsidRPr="00EE7364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Секреты великих ораторов. </w:t>
            </w:r>
            <w:proofErr w:type="gramStart"/>
            <w:r w:rsidRPr="00EE7364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как Черчилль, держись как Линкольн / Джеймс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/ — М.: Манн,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Фербер, 2013. — 304</w:t>
            </w:r>
            <w:r w:rsidRPr="00EE736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Чалдини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Психология влияния. Убеждай, воздействуй, защищайся. — СПб.: Питер, 2010. — 336 с.</w:t>
            </w:r>
          </w:p>
          <w:p w:rsidR="00184B49" w:rsidRPr="00FC7632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60">
              <w:rPr>
                <w:rFonts w:ascii="Times New Roman" w:hAnsi="Times New Roman"/>
                <w:sz w:val="24"/>
                <w:szCs w:val="24"/>
              </w:rPr>
              <w:t>Янг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r w:rsidRPr="002F6D60">
              <w:rPr>
                <w:rFonts w:ascii="Times New Roman" w:hAnsi="Times New Roman"/>
                <w:sz w:val="24"/>
                <w:szCs w:val="24"/>
              </w:rPr>
              <w:t>Привычки на всю жизнь. Научный подход к формированию устойчивых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>/ пер. с англ. В. Горохова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2016. – 272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4B49" w:rsidRPr="003A4956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Беркун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Исповедь оратора. Секретные сведения о том, как зарабатывать 30 000 долларов в час. - Пер. с англ. - СПб: Символ-Плюс, 2010. - 240 с.</w:t>
            </w:r>
          </w:p>
          <w:p w:rsidR="00184B49" w:rsidRPr="00521AB0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B0">
              <w:rPr>
                <w:rFonts w:ascii="Times New Roman" w:hAnsi="Times New Roman"/>
                <w:sz w:val="24"/>
                <w:szCs w:val="24"/>
              </w:rPr>
              <w:t>Бишоп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>Unfu</w:t>
            </w:r>
            <w:proofErr w:type="spellEnd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*k yourself.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Парься меньше, живи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gramEnd"/>
            <w:r w:rsidRPr="00521AB0">
              <w:rPr>
                <w:rFonts w:ascii="Times New Roman" w:hAnsi="Times New Roman"/>
                <w:sz w:val="24"/>
                <w:szCs w:val="24"/>
              </w:rPr>
              <w:t xml:space="preserve"> пер. с англ. Ю. Спирина. / — </w:t>
            </w:r>
            <w:proofErr w:type="gramStart"/>
            <w:r w:rsidRPr="00521AB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240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3242D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В.В. Риторика: конспект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: Вид-во ХНАДУ, 2008. – 121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Психология общения. — СПб.: ПРАЙМ ЕВРОЗНАК, 2003. — 320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Вильямс Р. Дизайн для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НЕдизайнеров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. – Пер. с англ. – СПб: Символ-Плюс, 2008 – 192 с.</w:t>
            </w:r>
          </w:p>
          <w:p w:rsidR="00184B49" w:rsidRPr="00CD420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D"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Фиолетовая корова. Сделайте свой бизнес выдающимся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/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Манн, Иванов и Фербер, 2018. — 160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5E244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Фокус. О внимании, рассеянности и жизненном успехе</w:t>
            </w:r>
            <w:r w:rsidRPr="005E244E">
              <w:t xml:space="preserve">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– М.: АСТ, 2015. – 384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Деструктивные эмоции / Д. </w:t>
            </w: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/ Пер. с англ. О. Г. </w:t>
            </w:r>
            <w:proofErr w:type="spellStart"/>
            <w:proofErr w:type="gram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Белошеев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.—</w:t>
            </w:r>
            <w:proofErr w:type="gram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Мн.: ООО «Попурри», 2005.— 672 с.</w:t>
            </w:r>
          </w:p>
          <w:p w:rsidR="00184B49" w:rsidRPr="00EE7364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интеллект. Почему он может значить больше, чем IQ / пер. с англ. А.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Исаєва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>. — М.: Манн, Иванов и Фербер, 2013. — 560 с.</w:t>
            </w:r>
          </w:p>
          <w:p w:rsidR="00184B49" w:rsidRPr="00F20CCA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CA">
              <w:rPr>
                <w:rFonts w:ascii="Times New Roman" w:hAnsi="Times New Roman"/>
                <w:sz w:val="24"/>
                <w:szCs w:val="24"/>
              </w:rPr>
              <w:t>Джеймс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F20CCA">
              <w:rPr>
                <w:rFonts w:ascii="Times New Roman" w:hAnsi="Times New Roman"/>
                <w:sz w:val="24"/>
                <w:szCs w:val="24"/>
              </w:rPr>
              <w:t>Джонгвард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. Рожденные побеждать. 10 ключей к пониманию, почему одни люди добиваются успеха, а другие 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— 352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Дирксен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Искусство обучать: как сделать любое обучение нескучным и эффективным / Манн, Иванов и Фербер; Москва; 2013.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Интроверты. Как использовать особенности своего характера // Манн, Иванов и Фербер,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2013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 Как хороший человек становится негодяем. Эксперименты о механизмах подчинения. Индивид в сетях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8261F"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 w:rsidRPr="0038261F">
              <w:rPr>
                <w:rFonts w:ascii="Times New Roman" w:hAnsi="Times New Roman"/>
                <w:sz w:val="24"/>
                <w:szCs w:val="24"/>
              </w:rPr>
              <w:t xml:space="preserve"> С. – АСТ; Москва;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Мортон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Лаборатория презентаций: Формула идеального выступления /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2016.</w:t>
            </w:r>
          </w:p>
          <w:p w:rsidR="00184B49" w:rsidRPr="00622001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, С. Пришел, увидел, убедил. 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от которого не смо</w:t>
            </w:r>
            <w:r w:rsidRPr="006E581F">
              <w:rPr>
                <w:rFonts w:ascii="Times New Roman" w:hAnsi="Times New Roman"/>
                <w:sz w:val="24"/>
                <w:szCs w:val="24"/>
              </w:rPr>
              <w:t xml:space="preserve">гут отказаться / Стефани </w:t>
            </w:r>
            <w:proofErr w:type="spellStart"/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пер. с англ. Екатерины </w:t>
            </w: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2008. - 304 с.</w:t>
            </w:r>
          </w:p>
          <w:p w:rsidR="00184B49" w:rsidRPr="000E63F3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https://search.proquest.com/openview/55339ba22eb42e7e24ebbdf56fba7795/1?pq-origsite=gscholar&amp;cbl=36333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6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AC48B7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B04E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Самопрезентація, публічний виступ, мотивація, вербальна комунікація, невербальна комунікація,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9953CD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="009953CD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E20536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0B1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277"/>
    <w:multiLevelType w:val="hybridMultilevel"/>
    <w:tmpl w:val="0E74F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706E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A086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7238D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7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2"/>
  </w:num>
  <w:num w:numId="3">
    <w:abstractNumId w:val="45"/>
  </w:num>
  <w:num w:numId="4">
    <w:abstractNumId w:val="11"/>
  </w:num>
  <w:num w:numId="5">
    <w:abstractNumId w:val="8"/>
  </w:num>
  <w:num w:numId="6">
    <w:abstractNumId w:val="46"/>
  </w:num>
  <w:num w:numId="7">
    <w:abstractNumId w:val="27"/>
  </w:num>
  <w:num w:numId="8">
    <w:abstractNumId w:val="4"/>
  </w:num>
  <w:num w:numId="9">
    <w:abstractNumId w:val="25"/>
  </w:num>
  <w:num w:numId="10">
    <w:abstractNumId w:val="21"/>
  </w:num>
  <w:num w:numId="11">
    <w:abstractNumId w:val="38"/>
  </w:num>
  <w:num w:numId="12">
    <w:abstractNumId w:val="18"/>
  </w:num>
  <w:num w:numId="13">
    <w:abstractNumId w:val="37"/>
  </w:num>
  <w:num w:numId="14">
    <w:abstractNumId w:val="13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40"/>
  </w:num>
  <w:num w:numId="20">
    <w:abstractNumId w:val="32"/>
  </w:num>
  <w:num w:numId="21">
    <w:abstractNumId w:val="14"/>
  </w:num>
  <w:num w:numId="22">
    <w:abstractNumId w:val="36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28"/>
  </w:num>
  <w:num w:numId="28">
    <w:abstractNumId w:val="41"/>
  </w:num>
  <w:num w:numId="29">
    <w:abstractNumId w:val="35"/>
  </w:num>
  <w:num w:numId="30">
    <w:abstractNumId w:val="23"/>
  </w:num>
  <w:num w:numId="31">
    <w:abstractNumId w:val="20"/>
  </w:num>
  <w:num w:numId="32">
    <w:abstractNumId w:val="29"/>
  </w:num>
  <w:num w:numId="33">
    <w:abstractNumId w:val="48"/>
  </w:num>
  <w:num w:numId="34">
    <w:abstractNumId w:val="43"/>
  </w:num>
  <w:num w:numId="35">
    <w:abstractNumId w:val="30"/>
  </w:num>
  <w:num w:numId="36">
    <w:abstractNumId w:val="34"/>
  </w:num>
  <w:num w:numId="37">
    <w:abstractNumId w:val="33"/>
  </w:num>
  <w:num w:numId="38">
    <w:abstractNumId w:val="39"/>
  </w:num>
  <w:num w:numId="39">
    <w:abstractNumId w:val="24"/>
  </w:num>
  <w:num w:numId="40">
    <w:abstractNumId w:val="42"/>
  </w:num>
  <w:num w:numId="41">
    <w:abstractNumId w:val="31"/>
  </w:num>
  <w:num w:numId="42">
    <w:abstractNumId w:val="3"/>
  </w:num>
  <w:num w:numId="43">
    <w:abstractNumId w:val="12"/>
  </w:num>
  <w:num w:numId="44">
    <w:abstractNumId w:val="15"/>
  </w:num>
  <w:num w:numId="45">
    <w:abstractNumId w:val="16"/>
  </w:num>
  <w:num w:numId="46">
    <w:abstractNumId w:val="26"/>
  </w:num>
  <w:num w:numId="47">
    <w:abstractNumId w:val="47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B04E7"/>
    <w:rsid w:val="002E733D"/>
    <w:rsid w:val="00300949"/>
    <w:rsid w:val="003118E1"/>
    <w:rsid w:val="00335932"/>
    <w:rsid w:val="003D5F59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953CD"/>
    <w:rsid w:val="009C7081"/>
    <w:rsid w:val="009D246E"/>
    <w:rsid w:val="009D7179"/>
    <w:rsid w:val="009E23F2"/>
    <w:rsid w:val="009E2A4B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20536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F46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ef.it/butler/files/2009/11/thaler80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8</cp:revision>
  <dcterms:created xsi:type="dcterms:W3CDTF">2019-10-20T13:12:00Z</dcterms:created>
  <dcterms:modified xsi:type="dcterms:W3CDTF">2020-08-20T12:00:00Z</dcterms:modified>
</cp:coreProperties>
</file>