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60" w:rsidRPr="000836BC" w:rsidRDefault="00103C60" w:rsidP="00103C6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103C60" w:rsidRPr="000836BC" w:rsidRDefault="00103C60" w:rsidP="00103C6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103C60" w:rsidRPr="000836BC" w:rsidRDefault="00103C60" w:rsidP="00103C6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103C60" w:rsidRPr="000836BC" w:rsidRDefault="00103C60" w:rsidP="00103C60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>
        <w:rPr>
          <w:rFonts w:ascii="Times New Roman" w:hAnsi="Times New Roman"/>
        </w:rPr>
        <w:t>1 від 28 серпня</w:t>
      </w:r>
      <w:r w:rsidRPr="000836B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0836BC">
        <w:rPr>
          <w:rFonts w:ascii="Times New Roman" w:hAnsi="Times New Roman"/>
        </w:rPr>
        <w:t xml:space="preserve"> р.)</w:t>
      </w: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</w:rPr>
      </w:pP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</w:rPr>
      </w:pPr>
    </w:p>
    <w:p w:rsidR="00103C60" w:rsidRPr="000836BC" w:rsidRDefault="00103C60" w:rsidP="00103C60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>
        <w:rPr>
          <w:rFonts w:ascii="Times New Roman" w:eastAsia="Times New Roman" w:hAnsi="Times New Roman"/>
          <w:b/>
          <w:color w:val="000000"/>
        </w:rPr>
        <w:t>Політика і релігія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103C60" w:rsidRPr="000836BC" w:rsidRDefault="00103C60" w:rsidP="00103C6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</w:rPr>
        <w:t xml:space="preserve">«Політологія»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>
        <w:rPr>
          <w:rFonts w:ascii="Times New Roman" w:eastAsia="Times New Roman" w:hAnsi="Times New Roman"/>
          <w:b/>
          <w:color w:val="000000"/>
        </w:rPr>
        <w:t>052 «Політологія»</w:t>
      </w: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103C60" w:rsidRPr="000836BC" w:rsidRDefault="00103C60" w:rsidP="00103C60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2508E0" w:rsidRPr="00103C60" w:rsidRDefault="00103C60" w:rsidP="00103C60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>
        <w:rPr>
          <w:rFonts w:ascii="Times New Roman" w:eastAsia="Times New Roman" w:hAnsi="Times New Roman"/>
          <w:b/>
        </w:rPr>
        <w:t>2020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2508E0" w:rsidTr="006E39DE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2508E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Політика і релігія</w:t>
            </w:r>
          </w:p>
        </w:tc>
      </w:tr>
      <w:tr w:rsidR="002508E0" w:rsidTr="006E39DE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2508E0" w:rsidTr="006E39DE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2508E0" w:rsidTr="006E39DE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2508E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соціально-поведінкові науки; 052 «політологія»</w:t>
            </w:r>
          </w:p>
        </w:tc>
      </w:tr>
      <w:tr w:rsidR="002508E0" w:rsidTr="006E39DE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асистент кафедри теорії та історії політичної науки</w:t>
            </w:r>
          </w:p>
        </w:tc>
      </w:tr>
      <w:tr w:rsidR="002508E0" w:rsidTr="006E39DE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103C60" w:rsidP="006E39DE">
            <w:pPr>
              <w:widowControl w:val="0"/>
              <w:rPr>
                <w:lang w:val="en-US"/>
              </w:rPr>
            </w:pPr>
            <w:hyperlink r:id="rId6" w:history="1">
              <w:r w:rsidR="002508E0" w:rsidRPr="00491E2F">
                <w:rPr>
                  <w:rStyle w:val="a3"/>
                  <w:lang w:val="en-US"/>
                </w:rPr>
                <w:t>galyna.ilenkiv@gmail.com</w:t>
              </w:r>
            </w:hyperlink>
          </w:p>
          <w:p w:rsidR="002508E0" w:rsidRPr="00CE524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093461800</w:t>
            </w:r>
          </w:p>
        </w:tc>
      </w:tr>
      <w:tr w:rsidR="002508E0" w:rsidTr="006E39DE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13.00-15.00 год. (філософський факультет, вул. Університетська, 1, ауд.204)</w:t>
            </w:r>
          </w:p>
          <w:p w:rsidR="002508E0" w:rsidRDefault="002508E0" w:rsidP="006E39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8E0" w:rsidTr="006E39DE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08E0" w:rsidTr="006E39DE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Pr="00D74294" w:rsidRDefault="002508E0" w:rsidP="006E3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Pr="00D74294" w:rsidRDefault="002508E0" w:rsidP="00D7429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 розроблено таким чином, щоб надати учасникам навчального процесу необхідні знання про </w:t>
            </w:r>
            <w:r w:rsidR="00D74294">
              <w:rPr>
                <w:rFonts w:ascii="Times New Roman" w:eastAsia="Times New Roman" w:hAnsi="Times New Roman" w:cs="Times New Roman"/>
                <w:color w:val="000000"/>
              </w:rPr>
              <w:t>взаємовплив політичної та релігійної сфер життя як двох важливих складових соціальної дійсності.  Курс «Політика та релігія» розрахований на студентів-політологів, сферою зацікавлення яких є політичні конфлікти з релігійним підґрунтям або релігійною складовою, політична поведінка, свідомість та культура.</w:t>
            </w:r>
          </w:p>
        </w:tc>
      </w:tr>
      <w:tr w:rsidR="002508E0" w:rsidTr="006E39D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Pr="00D74294" w:rsidRDefault="002508E0" w:rsidP="006E3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2508E0" w:rsidP="00103C60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Навчальна дисципліна </w:t>
            </w:r>
            <w:r w:rsidR="00DC4B0E">
              <w:rPr>
                <w:rFonts w:ascii="Times New Roman" w:eastAsia="Times New Roman" w:hAnsi="Times New Roman" w:cs="Times New Roman"/>
                <w:color w:val="000000"/>
              </w:rPr>
              <w:t>«Політика і релігія»</w:t>
            </w:r>
            <w:r w:rsidR="00103C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3C60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="00103C60" w:rsidRPr="006A6169">
              <w:rPr>
                <w:rFonts w:ascii="Times New Roman" w:eastAsia="Times New Roman" w:hAnsi="Times New Roman"/>
                <w:sz w:val="24"/>
                <w:szCs w:val="24"/>
              </w:rPr>
              <w:t>исципліною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 xml:space="preserve"> циклу професійної і практичної підготовки першого (бакалаврського рівня) вищої освіти </w:t>
            </w:r>
            <w:r w:rsidR="00103C60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 спеціальності 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>052 «Політологія»</w:t>
            </w:r>
            <w:r w:rsidR="00103C60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 xml:space="preserve">«Політологія», яка викладається в 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3C60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103C60">
              <w:rPr>
                <w:rFonts w:ascii="Times New Roman" w:eastAsia="Times New Roman" w:hAnsi="Times New Roman"/>
                <w:sz w:val="24"/>
                <w:szCs w:val="24"/>
              </w:rPr>
              <w:t>3 кредити</w:t>
            </w:r>
            <w:r w:rsidR="00103C60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  <w:r w:rsidR="00D742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3C60">
              <w:rPr>
                <w:rFonts w:ascii="Times New Roman" w:eastAsia="Times New Roman" w:hAnsi="Times New Roman" w:cs="Times New Roman"/>
                <w:color w:val="000000"/>
              </w:rPr>
              <w:t xml:space="preserve">Дисципліна «Політика і релігія» </w:t>
            </w:r>
            <w:r w:rsidR="00D74294">
              <w:rPr>
                <w:rFonts w:ascii="Times New Roman" w:eastAsia="Times New Roman" w:hAnsi="Times New Roman" w:cs="Times New Roman"/>
                <w:color w:val="000000"/>
              </w:rPr>
              <w:t>покликана забезпечити знання щодо взаємодії політики та релігії та виникнення сталих взаємозв’язків, що так чи інакше впливають на картину політичної дійсності. Зокрема, йдеться про політичні конфлікти, важливою складовою яких є релігія, стереотипи та деякі форми політичної поведінки. Частина курсу «Політика та релігія» присвячена саме регіональним особливостям впливу релігії на політичну дійсність.</w:t>
            </w:r>
          </w:p>
        </w:tc>
      </w:tr>
      <w:tr w:rsidR="002508E0" w:rsidTr="006E39DE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Pr="00531E86" w:rsidRDefault="00531E86" w:rsidP="00531E86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1E86">
              <w:rPr>
                <w:rFonts w:ascii="Times New Roman" w:eastAsia="Times New Roman" w:hAnsi="Times New Roman" w:cs="Times New Roman"/>
              </w:rPr>
              <w:t>Метою навчального курсу «Політика та релігія» є сформувати у студентів розуміння особливостей співвідношення політики та релігії як двох важливих сфер суспільних відносин, прослідкувати в історичній ретроспективі взаємовплив політики та релігії у різних культурно-цивілізаційних регіонах світу та наслідки цього взаємовпливу для сучасної політичної ситуації в світі.</w:t>
            </w:r>
          </w:p>
        </w:tc>
      </w:tr>
      <w:tr w:rsidR="002508E0" w:rsidTr="00103C60">
        <w:trPr>
          <w:trHeight w:val="88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2508E0" w:rsidP="006E39DE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6A1">
              <w:rPr>
                <w:rFonts w:ascii="Times New Roman" w:hAnsi="Times New Roman" w:cs="Times New Roman"/>
              </w:rPr>
              <w:t xml:space="preserve">Академічне релігієзнавство: Підручник. Київ: Світ Знань, 2000. 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/>
              </w:rPr>
              <w:t>Бодак</w:t>
            </w:r>
            <w:proofErr w:type="spellEnd"/>
            <w:r w:rsidRPr="001A16A1">
              <w:rPr>
                <w:rFonts w:ascii="Times New Roman" w:hAnsi="Times New Roman"/>
              </w:rPr>
              <w:t xml:space="preserve"> В. Релігійна обрядовість: соціальні функції. Київ, 1999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6A1">
              <w:rPr>
                <w:rFonts w:ascii="Times New Roman" w:hAnsi="Times New Roman"/>
              </w:rPr>
              <w:t>Виговський Л. А. Функціональність релігії: природа і вияви. Київ: Хмельницький, 2004. 340 с.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Віллем</w:t>
            </w:r>
            <w:proofErr w:type="spellEnd"/>
            <w:r w:rsidRPr="001A16A1">
              <w:rPr>
                <w:rFonts w:ascii="Times New Roman" w:hAnsi="Times New Roman" w:cs="Times New Roman"/>
              </w:rPr>
              <w:t>, Жан-Поль. Європа та релігії. Ставки ХХІ-го століття. Київ: Дух і літера, 2006. 331 с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/>
              </w:rPr>
              <w:t>Вілсон</w:t>
            </w:r>
            <w:proofErr w:type="spellEnd"/>
            <w:r w:rsidRPr="001A16A1">
              <w:rPr>
                <w:rFonts w:ascii="Times New Roman" w:hAnsi="Times New Roman"/>
              </w:rPr>
              <w:t xml:space="preserve"> Б. Соціологія релігії. Харків: Акта, 2002. 344с.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Грьон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Ансельм</w:t>
            </w:r>
            <w:proofErr w:type="spellEnd"/>
            <w:r w:rsidRPr="001A16A1">
              <w:rPr>
                <w:rFonts w:ascii="Times New Roman" w:hAnsi="Times New Roman" w:cs="Times New Roman"/>
              </w:rPr>
              <w:t>. Самонавіювання: Наука позитивного думання. Львів, 2002.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Зиммель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Г. К </w:t>
            </w:r>
            <w:proofErr w:type="spellStart"/>
            <w:r w:rsidRPr="001A16A1">
              <w:rPr>
                <w:rFonts w:ascii="Times New Roman" w:hAnsi="Times New Roman" w:cs="Times New Roman"/>
              </w:rPr>
              <w:t>социологии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6A1">
              <w:rPr>
                <w:rFonts w:ascii="Times New Roman" w:hAnsi="Times New Roman" w:cs="Times New Roman"/>
              </w:rPr>
              <w:t>религии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. Москва, 1996. 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Кислюк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К.В., Кучер О.М. Релігієзнавство: Підручник. Київ:Кондор, 2007. 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1A16A1">
              <w:rPr>
                <w:rFonts w:ascii="Times New Roman" w:hAnsi="Times New Roman"/>
              </w:rPr>
              <w:t xml:space="preserve">Курас І. Ф., Рибачук М. Ф., </w:t>
            </w:r>
            <w:proofErr w:type="spellStart"/>
            <w:r w:rsidRPr="001A16A1">
              <w:rPr>
                <w:rFonts w:ascii="Times New Roman" w:hAnsi="Times New Roman"/>
              </w:rPr>
              <w:t>Кирюшко</w:t>
            </w:r>
            <w:proofErr w:type="spellEnd"/>
            <w:r w:rsidRPr="001A16A1">
              <w:rPr>
                <w:rFonts w:ascii="Times New Roman" w:hAnsi="Times New Roman"/>
              </w:rPr>
              <w:t xml:space="preserve"> М. І., </w:t>
            </w:r>
            <w:proofErr w:type="spellStart"/>
            <w:r w:rsidRPr="001A16A1">
              <w:rPr>
                <w:rFonts w:ascii="Times New Roman" w:hAnsi="Times New Roman"/>
              </w:rPr>
              <w:t>Фещенко</w:t>
            </w:r>
            <w:proofErr w:type="spellEnd"/>
            <w:r w:rsidRPr="001A16A1">
              <w:rPr>
                <w:rFonts w:ascii="Times New Roman" w:hAnsi="Times New Roman"/>
              </w:rPr>
              <w:t xml:space="preserve"> П. І.. Релігія і політика в сучасній Україні ("Кесареве-кесарю, а </w:t>
            </w:r>
            <w:proofErr w:type="spellStart"/>
            <w:r w:rsidRPr="001A16A1">
              <w:rPr>
                <w:rFonts w:ascii="Times New Roman" w:hAnsi="Times New Roman"/>
              </w:rPr>
              <w:t>Боже-</w:t>
            </w:r>
            <w:proofErr w:type="spellEnd"/>
            <w:r w:rsidRPr="001A16A1">
              <w:rPr>
                <w:rFonts w:ascii="Times New Roman" w:hAnsi="Times New Roman"/>
              </w:rPr>
              <w:t xml:space="preserve"> Богу"). Київ: Інститут політичних і </w:t>
            </w:r>
            <w:proofErr w:type="spellStart"/>
            <w:r w:rsidRPr="001A16A1">
              <w:rPr>
                <w:rFonts w:ascii="Times New Roman" w:hAnsi="Times New Roman"/>
              </w:rPr>
              <w:t>етнонаціональних</w:t>
            </w:r>
            <w:proofErr w:type="spellEnd"/>
            <w:r w:rsidRPr="001A16A1">
              <w:rPr>
                <w:rFonts w:ascii="Times New Roman" w:hAnsi="Times New Roman"/>
              </w:rPr>
              <w:t xml:space="preserve"> досліджень НАН України, 2000. 272 с.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/>
              </w:rPr>
              <w:t>Лубський</w:t>
            </w:r>
            <w:proofErr w:type="spellEnd"/>
            <w:r w:rsidRPr="001A16A1">
              <w:rPr>
                <w:rFonts w:ascii="Times New Roman" w:hAnsi="Times New Roman"/>
              </w:rPr>
              <w:t xml:space="preserve"> В. І., </w:t>
            </w:r>
            <w:proofErr w:type="spellStart"/>
            <w:r w:rsidRPr="001A16A1">
              <w:rPr>
                <w:rFonts w:ascii="Times New Roman" w:hAnsi="Times New Roman"/>
              </w:rPr>
              <w:t>Козленко</w:t>
            </w:r>
            <w:proofErr w:type="spellEnd"/>
            <w:r w:rsidRPr="001A16A1">
              <w:rPr>
                <w:rFonts w:ascii="Times New Roman" w:hAnsi="Times New Roman"/>
              </w:rPr>
              <w:t xml:space="preserve"> В. М., </w:t>
            </w:r>
            <w:proofErr w:type="spellStart"/>
            <w:r w:rsidRPr="001A16A1">
              <w:rPr>
                <w:rFonts w:ascii="Times New Roman" w:hAnsi="Times New Roman"/>
              </w:rPr>
              <w:t>Горбаченко</w:t>
            </w:r>
            <w:proofErr w:type="spellEnd"/>
            <w:r w:rsidRPr="001A16A1">
              <w:rPr>
                <w:rFonts w:ascii="Times New Roman" w:hAnsi="Times New Roman"/>
              </w:rPr>
              <w:t xml:space="preserve"> Т. Г. Соціологія релігії: Курс лекцій для </w:t>
            </w:r>
            <w:proofErr w:type="spellStart"/>
            <w:r w:rsidRPr="001A16A1">
              <w:rPr>
                <w:rFonts w:ascii="Times New Roman" w:hAnsi="Times New Roman"/>
              </w:rPr>
              <w:t>студ</w:t>
            </w:r>
            <w:proofErr w:type="spellEnd"/>
            <w:r w:rsidRPr="001A16A1">
              <w:rPr>
                <w:rFonts w:ascii="Times New Roman" w:hAnsi="Times New Roman"/>
              </w:rPr>
              <w:t xml:space="preserve">. філос. </w:t>
            </w:r>
            <w:proofErr w:type="spellStart"/>
            <w:r w:rsidRPr="001A16A1">
              <w:rPr>
                <w:rFonts w:ascii="Times New Roman" w:hAnsi="Times New Roman"/>
              </w:rPr>
              <w:t>ф-тів</w:t>
            </w:r>
            <w:proofErr w:type="spellEnd"/>
            <w:r w:rsidRPr="001A16A1">
              <w:rPr>
                <w:rFonts w:ascii="Times New Roman" w:hAnsi="Times New Roman"/>
              </w:rPr>
              <w:t xml:space="preserve">, </w:t>
            </w:r>
            <w:proofErr w:type="spellStart"/>
            <w:r w:rsidRPr="001A16A1">
              <w:rPr>
                <w:rFonts w:ascii="Times New Roman" w:hAnsi="Times New Roman"/>
              </w:rPr>
              <w:t>від-нь</w:t>
            </w:r>
            <w:proofErr w:type="spellEnd"/>
            <w:r w:rsidRPr="001A16A1">
              <w:rPr>
                <w:rFonts w:ascii="Times New Roman" w:hAnsi="Times New Roman"/>
              </w:rPr>
              <w:t xml:space="preserve"> релігієзнавства, соціології, філософії, політології. Київ: </w:t>
            </w:r>
            <w:proofErr w:type="spellStart"/>
            <w:r w:rsidRPr="001A16A1">
              <w:rPr>
                <w:rFonts w:ascii="Times New Roman" w:hAnsi="Times New Roman"/>
              </w:rPr>
              <w:t>Фітосоціоцентр</w:t>
            </w:r>
            <w:proofErr w:type="spellEnd"/>
            <w:r w:rsidRPr="001A16A1">
              <w:rPr>
                <w:rFonts w:ascii="Times New Roman" w:hAnsi="Times New Roman"/>
              </w:rPr>
              <w:t>, 1999.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6A1">
              <w:rPr>
                <w:rFonts w:ascii="Times New Roman" w:hAnsi="Times New Roman"/>
              </w:rPr>
              <w:lastRenderedPageBreak/>
              <w:t xml:space="preserve">Олбрайт М., </w:t>
            </w:r>
            <w:proofErr w:type="spellStart"/>
            <w:r w:rsidRPr="001A16A1">
              <w:rPr>
                <w:rFonts w:ascii="Times New Roman" w:hAnsi="Times New Roman"/>
              </w:rPr>
              <w:t>Вудвард</w:t>
            </w:r>
            <w:proofErr w:type="spellEnd"/>
            <w:r w:rsidRPr="001A16A1">
              <w:rPr>
                <w:rFonts w:ascii="Times New Roman" w:hAnsi="Times New Roman"/>
              </w:rPr>
              <w:t xml:space="preserve"> Б. </w:t>
            </w:r>
            <w:proofErr w:type="spellStart"/>
            <w:r w:rsidRPr="001A16A1">
              <w:rPr>
                <w:rFonts w:ascii="Times New Roman" w:hAnsi="Times New Roman"/>
              </w:rPr>
              <w:t>Религия</w:t>
            </w:r>
            <w:proofErr w:type="spellEnd"/>
            <w:r w:rsidRPr="001A16A1">
              <w:rPr>
                <w:rFonts w:ascii="Times New Roman" w:hAnsi="Times New Roman"/>
              </w:rPr>
              <w:t xml:space="preserve"> и </w:t>
            </w:r>
            <w:proofErr w:type="spellStart"/>
            <w:r w:rsidRPr="001A16A1">
              <w:rPr>
                <w:rFonts w:ascii="Times New Roman" w:hAnsi="Times New Roman"/>
              </w:rPr>
              <w:t>мировая</w:t>
            </w:r>
            <w:proofErr w:type="spellEnd"/>
            <w:r w:rsidRPr="001A16A1">
              <w:rPr>
                <w:rFonts w:ascii="Times New Roman" w:hAnsi="Times New Roman"/>
              </w:rPr>
              <w:t xml:space="preserve"> </w:t>
            </w:r>
            <w:proofErr w:type="spellStart"/>
            <w:r w:rsidRPr="001A16A1">
              <w:rPr>
                <w:rFonts w:ascii="Times New Roman" w:hAnsi="Times New Roman"/>
              </w:rPr>
              <w:t>политика</w:t>
            </w:r>
            <w:proofErr w:type="spellEnd"/>
            <w:r w:rsidRPr="001A16A1">
              <w:rPr>
                <w:rFonts w:ascii="Times New Roman" w:hAnsi="Times New Roman"/>
              </w:rPr>
              <w:t xml:space="preserve">. Москва: </w:t>
            </w:r>
            <w:proofErr w:type="spellStart"/>
            <w:r w:rsidRPr="001A16A1">
              <w:rPr>
                <w:rFonts w:ascii="Times New Roman" w:hAnsi="Times New Roman"/>
              </w:rPr>
              <w:t>Альпина</w:t>
            </w:r>
            <w:proofErr w:type="spellEnd"/>
            <w:r w:rsidRPr="001A16A1">
              <w:rPr>
                <w:rFonts w:ascii="Times New Roman" w:hAnsi="Times New Roman"/>
              </w:rPr>
              <w:t xml:space="preserve"> </w:t>
            </w:r>
            <w:proofErr w:type="spellStart"/>
            <w:r w:rsidRPr="001A16A1">
              <w:rPr>
                <w:rFonts w:ascii="Times New Roman" w:hAnsi="Times New Roman"/>
              </w:rPr>
              <w:t>Бизнес</w:t>
            </w:r>
            <w:proofErr w:type="spellEnd"/>
            <w:r w:rsidRPr="001A16A1">
              <w:rPr>
                <w:rFonts w:ascii="Times New Roman" w:hAnsi="Times New Roman"/>
              </w:rPr>
              <w:t xml:space="preserve"> Букс, 2007. 352с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Оливер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Мировые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6A1">
              <w:rPr>
                <w:rFonts w:ascii="Times New Roman" w:hAnsi="Times New Roman" w:cs="Times New Roman"/>
              </w:rPr>
              <w:t>религиозные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верования</w:t>
            </w:r>
            <w:proofErr w:type="spellEnd"/>
            <w:r w:rsidRPr="001A16A1">
              <w:rPr>
                <w:rFonts w:ascii="Times New Roman" w:hAnsi="Times New Roman" w:cs="Times New Roman"/>
              </w:rPr>
              <w:t>. Москва: ФАИР-ПРЕСС, 2003. 240 с.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6A1">
              <w:rPr>
                <w:rFonts w:ascii="Times New Roman" w:hAnsi="Times New Roman"/>
              </w:rPr>
              <w:t>Релігійна свобода і права людини: Богословські аспекти. Львів: Свічадо, 2000. 426с (Том 1)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6A1">
              <w:rPr>
                <w:rFonts w:ascii="Times New Roman" w:hAnsi="Times New Roman"/>
              </w:rPr>
              <w:t xml:space="preserve">Релігійна свобода і права людини: Правничі аспекти: У 2. т. Львів: Монастир Монахів </w:t>
            </w:r>
            <w:proofErr w:type="spellStart"/>
            <w:r w:rsidRPr="001A16A1">
              <w:rPr>
                <w:rFonts w:ascii="Times New Roman" w:hAnsi="Times New Roman"/>
              </w:rPr>
              <w:t>Студитського</w:t>
            </w:r>
            <w:proofErr w:type="spellEnd"/>
            <w:r w:rsidRPr="001A16A1">
              <w:rPr>
                <w:rFonts w:ascii="Times New Roman" w:hAnsi="Times New Roman"/>
              </w:rPr>
              <w:t xml:space="preserve"> Уставу. Видавничий відділ, 2001. 376с. 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6A1">
              <w:rPr>
                <w:rFonts w:ascii="Times New Roman" w:hAnsi="Times New Roman"/>
              </w:rPr>
              <w:t>Релігійна свобода і права людини: Богословські аспекти. Львів: Свічадо, 2004. 556 с. (Том 3)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6A1">
              <w:rPr>
                <w:rFonts w:ascii="Times New Roman" w:hAnsi="Times New Roman"/>
              </w:rPr>
              <w:t>Релігія і нація в суспільному житті України й світу. Київ: Наукова думка, 2006. 287с.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6A1">
              <w:rPr>
                <w:rFonts w:ascii="Times New Roman" w:hAnsi="Times New Roman"/>
              </w:rPr>
              <w:t>Свобода релігії та віросповідання в Україні в контексті дотримання міжнародних стандартів з прав людини та основних свобод. Харків: Фоліо, 2005. 92с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Сафронов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А.Г.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6A1">
              <w:rPr>
                <w:rFonts w:ascii="Times New Roman" w:hAnsi="Times New Roman" w:cs="Times New Roman"/>
              </w:rPr>
              <w:t>религии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Монография</w:t>
            </w:r>
            <w:proofErr w:type="spellEnd"/>
            <w:r w:rsidRPr="001A16A1">
              <w:rPr>
                <w:rFonts w:ascii="Times New Roman" w:hAnsi="Times New Roman" w:cs="Times New Roman"/>
              </w:rPr>
              <w:t>. Київ, 2002.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Стоцький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, Ярослав. Держава і релігії в західних областях України: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конфес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. трансформації в контексті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держ</w:t>
            </w:r>
            <w:proofErr w:type="spellEnd"/>
            <w:r w:rsidRPr="001A16A1">
              <w:rPr>
                <w:rFonts w:ascii="Times New Roman" w:hAnsi="Times New Roman" w:cs="Times New Roman"/>
              </w:rPr>
              <w:t>. політики 1944-1964 років: монографія. Київ: ФАДА, ЛТД, 2008. 510 с.</w:t>
            </w:r>
          </w:p>
          <w:p w:rsidR="001A16A1" w:rsidRPr="001A16A1" w:rsidRDefault="001A16A1" w:rsidP="001A16A1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6A1">
              <w:rPr>
                <w:rFonts w:ascii="Times New Roman" w:hAnsi="Times New Roman" w:cs="Times New Roman"/>
              </w:rPr>
              <w:t>Харьковщенко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Є.А. Релігієзнавство: </w:t>
            </w:r>
            <w:proofErr w:type="spellStart"/>
            <w:r w:rsidRPr="001A16A1">
              <w:rPr>
                <w:rFonts w:ascii="Times New Roman" w:hAnsi="Times New Roman" w:cs="Times New Roman"/>
              </w:rPr>
              <w:t>Підручник.–</w:t>
            </w:r>
            <w:proofErr w:type="spellEnd"/>
            <w:r w:rsidRPr="001A16A1">
              <w:rPr>
                <w:rFonts w:ascii="Times New Roman" w:hAnsi="Times New Roman" w:cs="Times New Roman"/>
              </w:rPr>
              <w:t xml:space="preserve"> Київ: Наукова думка, 2007. </w:t>
            </w:r>
          </w:p>
          <w:p w:rsidR="002508E0" w:rsidRDefault="002508E0" w:rsidP="006E39DE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DA9">
              <w:rPr>
                <w:rFonts w:ascii="Times New Roman" w:hAnsi="Times New Roman"/>
              </w:rPr>
              <w:t xml:space="preserve">Вебер М. </w:t>
            </w:r>
            <w:proofErr w:type="spellStart"/>
            <w:r w:rsidRPr="002C3DA9">
              <w:rPr>
                <w:rFonts w:ascii="Times New Roman" w:hAnsi="Times New Roman"/>
              </w:rPr>
              <w:t>Социология</w:t>
            </w:r>
            <w:proofErr w:type="spellEnd"/>
            <w:r w:rsidRPr="002C3DA9">
              <w:rPr>
                <w:rFonts w:ascii="Times New Roman" w:hAnsi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/>
              </w:rPr>
              <w:t>религии</w:t>
            </w:r>
            <w:proofErr w:type="spellEnd"/>
            <w:r w:rsidRPr="002C3DA9">
              <w:rPr>
                <w:rFonts w:ascii="Times New Roman" w:hAnsi="Times New Roman"/>
              </w:rPr>
              <w:t xml:space="preserve"> (</w:t>
            </w:r>
            <w:proofErr w:type="spellStart"/>
            <w:r w:rsidRPr="002C3DA9">
              <w:rPr>
                <w:rFonts w:ascii="Times New Roman" w:hAnsi="Times New Roman"/>
              </w:rPr>
              <w:t>типы</w:t>
            </w:r>
            <w:proofErr w:type="spellEnd"/>
            <w:r w:rsidRPr="002C3DA9">
              <w:rPr>
                <w:rFonts w:ascii="Times New Roman" w:hAnsi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/>
              </w:rPr>
              <w:t>религиозных</w:t>
            </w:r>
            <w:proofErr w:type="spellEnd"/>
            <w:r w:rsidRPr="002C3DA9">
              <w:rPr>
                <w:rFonts w:ascii="Times New Roman" w:hAnsi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/>
              </w:rPr>
              <w:t>сообществ</w:t>
            </w:r>
            <w:proofErr w:type="spellEnd"/>
            <w:r w:rsidRPr="002C3DA9">
              <w:rPr>
                <w:rFonts w:ascii="Times New Roman" w:hAnsi="Times New Roman"/>
              </w:rPr>
              <w:t>). Москва, 1994.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DA9">
              <w:rPr>
                <w:rFonts w:ascii="Times New Roman" w:hAnsi="Times New Roman"/>
              </w:rPr>
              <w:t xml:space="preserve">Вебер М. </w:t>
            </w:r>
            <w:proofErr w:type="spellStart"/>
            <w:r w:rsidRPr="002C3DA9">
              <w:rPr>
                <w:rFonts w:ascii="Times New Roman" w:hAnsi="Times New Roman"/>
              </w:rPr>
              <w:t>Хозяйственная</w:t>
            </w:r>
            <w:proofErr w:type="spellEnd"/>
            <w:r w:rsidRPr="002C3DA9">
              <w:rPr>
                <w:rFonts w:ascii="Times New Roman" w:hAnsi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/>
              </w:rPr>
              <w:t>этика</w:t>
            </w:r>
            <w:proofErr w:type="spellEnd"/>
            <w:r w:rsidRPr="002C3DA9">
              <w:rPr>
                <w:rFonts w:ascii="Times New Roman" w:hAnsi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/>
              </w:rPr>
              <w:t>мировых</w:t>
            </w:r>
            <w:proofErr w:type="spellEnd"/>
            <w:r w:rsidRPr="002C3DA9">
              <w:rPr>
                <w:rFonts w:ascii="Times New Roman" w:hAnsi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/>
              </w:rPr>
              <w:t>религий</w:t>
            </w:r>
            <w:proofErr w:type="spellEnd"/>
            <w:r w:rsidRPr="002C3DA9">
              <w:rPr>
                <w:rFonts w:ascii="Times New Roman" w:hAnsi="Times New Roman"/>
              </w:rPr>
              <w:t>. Москва, 1994.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DA9">
              <w:rPr>
                <w:rFonts w:ascii="Times New Roman" w:hAnsi="Times New Roman"/>
              </w:rPr>
              <w:t xml:space="preserve">Вебер М. </w:t>
            </w:r>
            <w:proofErr w:type="spellStart"/>
            <w:r w:rsidRPr="002C3DA9">
              <w:rPr>
                <w:rFonts w:ascii="Times New Roman" w:hAnsi="Times New Roman"/>
              </w:rPr>
              <w:t>Протестантская</w:t>
            </w:r>
            <w:proofErr w:type="spellEnd"/>
            <w:r w:rsidRPr="002C3DA9">
              <w:rPr>
                <w:rFonts w:ascii="Times New Roman" w:hAnsi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/>
              </w:rPr>
              <w:t>этика</w:t>
            </w:r>
            <w:proofErr w:type="spellEnd"/>
            <w:r w:rsidRPr="002C3DA9">
              <w:rPr>
                <w:rFonts w:ascii="Times New Roman" w:hAnsi="Times New Roman"/>
              </w:rPr>
              <w:t xml:space="preserve"> и дух </w:t>
            </w:r>
            <w:proofErr w:type="spellStart"/>
            <w:r w:rsidRPr="002C3DA9">
              <w:rPr>
                <w:rFonts w:ascii="Times New Roman" w:hAnsi="Times New Roman"/>
              </w:rPr>
              <w:t>капитализма</w:t>
            </w:r>
            <w:proofErr w:type="spellEnd"/>
            <w:r w:rsidRPr="002C3DA9">
              <w:rPr>
                <w:rFonts w:ascii="Times New Roman" w:hAnsi="Times New Roman"/>
              </w:rPr>
              <w:t>. Москва, 1990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DA9">
              <w:rPr>
                <w:rFonts w:ascii="Times New Roman" w:hAnsi="Times New Roman" w:cs="Times New Roman"/>
              </w:rPr>
              <w:t xml:space="preserve">Гуревич П.С. </w:t>
            </w:r>
            <w:proofErr w:type="spellStart"/>
            <w:r w:rsidRPr="002C3DA9">
              <w:rPr>
                <w:rFonts w:ascii="Times New Roman" w:hAnsi="Times New Roman" w:cs="Times New Roman"/>
              </w:rPr>
              <w:t>Религиоведение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C3DA9">
              <w:rPr>
                <w:rFonts w:ascii="Times New Roman" w:hAnsi="Times New Roman" w:cs="Times New Roman"/>
              </w:rPr>
              <w:t>Учеб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пособие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. Москва: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Изд-во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Моск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психолого-социал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ин-та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; Воронеж: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Изд-во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 НПО «МОДЭК», 2005. 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DA9">
              <w:rPr>
                <w:rFonts w:ascii="Times New Roman" w:hAnsi="Times New Roman"/>
              </w:rPr>
              <w:t>Єленський</w:t>
            </w:r>
            <w:proofErr w:type="spellEnd"/>
            <w:r w:rsidRPr="002C3DA9">
              <w:rPr>
                <w:rFonts w:ascii="Times New Roman" w:hAnsi="Times New Roman"/>
              </w:rPr>
              <w:t xml:space="preserve"> В. Є. Релігія після комунізму. Релігійно-соціальні зміни в процесі трансформації </w:t>
            </w:r>
            <w:proofErr w:type="spellStart"/>
            <w:r w:rsidRPr="002C3DA9">
              <w:rPr>
                <w:rFonts w:ascii="Times New Roman" w:hAnsi="Times New Roman"/>
              </w:rPr>
              <w:t>центрально-</w:t>
            </w:r>
            <w:proofErr w:type="spellEnd"/>
            <w:r w:rsidRPr="002C3DA9">
              <w:rPr>
                <w:rFonts w:ascii="Times New Roman" w:hAnsi="Times New Roman"/>
              </w:rPr>
              <w:t xml:space="preserve"> і східноєвропейських суспільств: фокус на Україні. Київ: НПУ ім. М.П.Драгоманова, 2002. 420с.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DA9">
              <w:rPr>
                <w:rFonts w:ascii="Times New Roman" w:hAnsi="Times New Roman"/>
              </w:rPr>
              <w:t>Колодний А. М. Феномен релігії: природа, структура, функціональність, тенденції. Київ: Світ знань, 1999. 52с.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DA9">
              <w:rPr>
                <w:rFonts w:ascii="Times New Roman" w:hAnsi="Times New Roman" w:cs="Times New Roman"/>
              </w:rPr>
              <w:t>Лубський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 В.І.,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Лубська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 М.В. Історія релігій: Підручник. Київ: Центр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навч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літ-ри</w:t>
            </w:r>
            <w:proofErr w:type="spellEnd"/>
            <w:r w:rsidRPr="002C3DA9">
              <w:rPr>
                <w:rFonts w:ascii="Times New Roman" w:hAnsi="Times New Roman" w:cs="Times New Roman"/>
              </w:rPr>
              <w:t>, 2004.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3DA9">
              <w:rPr>
                <w:rFonts w:ascii="Times New Roman" w:hAnsi="Times New Roman"/>
              </w:rPr>
              <w:t>Лубський</w:t>
            </w:r>
            <w:proofErr w:type="spellEnd"/>
            <w:r w:rsidRPr="002C3DA9">
              <w:rPr>
                <w:rFonts w:ascii="Times New Roman" w:hAnsi="Times New Roman"/>
              </w:rPr>
              <w:t xml:space="preserve"> В.І., </w:t>
            </w:r>
            <w:proofErr w:type="spellStart"/>
            <w:r w:rsidRPr="002C3DA9">
              <w:rPr>
                <w:rFonts w:ascii="Times New Roman" w:hAnsi="Times New Roman"/>
              </w:rPr>
              <w:t>Предко</w:t>
            </w:r>
            <w:proofErr w:type="spellEnd"/>
            <w:r w:rsidRPr="002C3DA9">
              <w:rPr>
                <w:rFonts w:ascii="Times New Roman" w:hAnsi="Times New Roman"/>
              </w:rPr>
              <w:t xml:space="preserve"> О.І. Психологія релігії: Підручник. Київ, 2004.</w:t>
            </w:r>
          </w:p>
          <w:p w:rsidR="001A16A1" w:rsidRPr="002C3DA9" w:rsidRDefault="001A16A1" w:rsidP="002C3DA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DA9">
              <w:rPr>
                <w:rFonts w:ascii="Times New Roman" w:hAnsi="Times New Roman" w:cs="Times New Roman"/>
              </w:rPr>
              <w:lastRenderedPageBreak/>
              <w:t xml:space="preserve">Релігієзнавство: </w:t>
            </w:r>
            <w:proofErr w:type="spellStart"/>
            <w:r w:rsidRPr="002C3DA9">
              <w:rPr>
                <w:rFonts w:ascii="Times New Roman" w:hAnsi="Times New Roman" w:cs="Times New Roman"/>
              </w:rPr>
              <w:t>Навч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. Посібник. Київ: </w:t>
            </w:r>
            <w:proofErr w:type="spellStart"/>
            <w:r w:rsidRPr="002C3DA9">
              <w:rPr>
                <w:rFonts w:ascii="Times New Roman" w:hAnsi="Times New Roman" w:cs="Times New Roman"/>
              </w:rPr>
              <w:t>Юрінком</w:t>
            </w:r>
            <w:proofErr w:type="spellEnd"/>
            <w:r w:rsidRPr="002C3DA9">
              <w:rPr>
                <w:rFonts w:ascii="Times New Roman" w:hAnsi="Times New Roman" w:cs="Times New Roman"/>
              </w:rPr>
              <w:t xml:space="preserve"> Інтер, 1999. </w:t>
            </w:r>
          </w:p>
          <w:p w:rsidR="002508E0" w:rsidRPr="00103C60" w:rsidRDefault="001A16A1" w:rsidP="00103C60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DA9">
              <w:rPr>
                <w:rFonts w:ascii="Times New Roman" w:hAnsi="Times New Roman" w:cs="Times New Roman"/>
              </w:rPr>
              <w:t xml:space="preserve">Релігієзнавство: Підручник. Київ: Знання, 2007. </w:t>
            </w:r>
            <w:bookmarkStart w:id="0" w:name="_GoBack"/>
            <w:bookmarkEnd w:id="0"/>
          </w:p>
        </w:tc>
      </w:tr>
      <w:tr w:rsidR="002508E0" w:rsidTr="006E39DE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____90____год</w:t>
            </w:r>
          </w:p>
        </w:tc>
      </w:tr>
      <w:tr w:rsidR="002508E0" w:rsidTr="006E39D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B57AF6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5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2___год аудиторних</w:t>
            </w:r>
          </w:p>
          <w:p w:rsidR="00550530" w:rsidRDefault="00B57AF6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</w:t>
            </w:r>
            <w:r w:rsidRPr="00B5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proofErr w:type="spellStart"/>
            <w:r w:rsidR="0025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</w:t>
            </w:r>
            <w:proofErr w:type="spellEnd"/>
            <w:r w:rsidR="0025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лекцій</w:t>
            </w:r>
          </w:p>
          <w:p w:rsidR="002508E0" w:rsidRDefault="00B57AF6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B5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55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годин семінарських занять</w:t>
            </w:r>
            <w:r w:rsidR="0025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08E0" w:rsidRDefault="00B57AF6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B5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5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8___годин самостійної роботи</w:t>
            </w:r>
          </w:p>
        </w:tc>
      </w:tr>
      <w:tr w:rsidR="002508E0" w:rsidTr="006E39DE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CF2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2508E0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2508E0" w:rsidRDefault="002508E0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D74294" w:rsidRPr="004771DA" w:rsidRDefault="004771DA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71DA">
              <w:rPr>
                <w:rFonts w:ascii="Times New Roman" w:eastAsia="Times New Roman" w:hAnsi="Times New Roman" w:cs="Times New Roman"/>
                <w:color w:val="000000"/>
              </w:rPr>
              <w:t>історичні етапи розвитку взаємозв’язку між політикою та релігією, специфіку кожного етапу</w:t>
            </w:r>
            <w:r w:rsidR="00CF231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71DA" w:rsidRDefault="00CF2319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визначення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модерування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політико-релігійних конфліктів;</w:t>
            </w:r>
          </w:p>
          <w:p w:rsidR="00CF2319" w:rsidRPr="004771DA" w:rsidRDefault="00CF2319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взаємодії політики та релігії в сучасному світі.</w:t>
            </w:r>
          </w:p>
          <w:p w:rsidR="002508E0" w:rsidRDefault="002508E0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D74294" w:rsidRDefault="00D74294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4294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вплив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політики на релігійну сферу та релігії – на політичну, зіставляти реальні соціальні практики з законодавчо оформленими;</w:t>
            </w:r>
          </w:p>
          <w:p w:rsidR="00D74294" w:rsidRPr="00D74294" w:rsidRDefault="00CF2319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правові акти на відповідність принципам свободи совісті та віросповідання.</w:t>
            </w:r>
          </w:p>
        </w:tc>
      </w:tr>
      <w:tr w:rsidR="002508E0" w:rsidTr="006E39DE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CD5929" w:rsidP="006E39D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Політичний процес, релігійний інститут, свобода совісті, </w:t>
            </w:r>
            <w:r w:rsidR="00CF2319">
              <w:rPr>
                <w:rFonts w:ascii="Times New Roman" w:eastAsia="Times New Roman" w:hAnsi="Times New Roman" w:cs="Times New Roman"/>
                <w:color w:val="000000"/>
              </w:rPr>
              <w:t>політико-релігійний конфлікт, релігійна толерантність.</w:t>
            </w:r>
          </w:p>
        </w:tc>
      </w:tr>
      <w:tr w:rsidR="002508E0" w:rsidTr="006E39DE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2508E0" w:rsidTr="006E39DE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2508E0" w:rsidTr="006E39DE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2508E0" w:rsidTr="006E39DE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CD5929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</w:t>
            </w:r>
            <w:r w:rsidR="00CD5929">
              <w:rPr>
                <w:rFonts w:ascii="Times New Roman" w:eastAsia="Times New Roman" w:hAnsi="Times New Roman" w:cs="Times New Roman"/>
                <w:color w:val="000000"/>
              </w:rPr>
              <w:t xml:space="preserve"> базових знань  із  дисциплін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«Історія політичних вчень», «Історія політичної думки України», </w:t>
            </w:r>
            <w:r w:rsidR="00CD5929">
              <w:rPr>
                <w:rFonts w:ascii="Times New Roman" w:eastAsia="Times New Roman" w:hAnsi="Times New Roman" w:cs="Times New Roman"/>
                <w:color w:val="000000"/>
              </w:rPr>
              <w:t xml:space="preserve">«Філософія політики», </w:t>
            </w:r>
          </w:p>
        </w:tc>
      </w:tr>
      <w:tr w:rsidR="002508E0" w:rsidTr="006E39D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08E0" w:rsidTr="006E39DE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2508E0" w:rsidTr="006E39D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08E0" w:rsidRDefault="002508E0" w:rsidP="006E39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усні відповіді на семінарських заняттях та виконання домашніх завдань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балів – підсумкова контрольна робота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балів – творча робота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08E0" w:rsidRDefault="002508E0" w:rsidP="006E39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08E0" w:rsidTr="006E39DE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Теоретичні підходи до визначення та </w:t>
            </w:r>
            <w:proofErr w:type="spellStart"/>
            <w:r w:rsidRPr="002D6389">
              <w:rPr>
                <w:rFonts w:ascii="Times New Roman" w:eastAsia="Times New Roman" w:hAnsi="Times New Roman" w:cs="Times New Roman"/>
              </w:rPr>
              <w:t>взаємодетермінування</w:t>
            </w:r>
            <w:proofErr w:type="spellEnd"/>
            <w:r w:rsidRPr="002D6389">
              <w:rPr>
                <w:rFonts w:ascii="Times New Roman" w:eastAsia="Times New Roman" w:hAnsi="Times New Roman" w:cs="Times New Roman"/>
              </w:rPr>
              <w:t xml:space="preserve"> політики та релігії в сучасній науці.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Релігія як основний фактор в цивілізаційному підході С. </w:t>
            </w:r>
            <w:proofErr w:type="spellStart"/>
            <w:r w:rsidRPr="002D6389">
              <w:rPr>
                <w:rFonts w:ascii="Times New Roman" w:eastAsia="Times New Roman" w:hAnsi="Times New Roman" w:cs="Times New Roman"/>
              </w:rPr>
              <w:t>Гантінгтона</w:t>
            </w:r>
            <w:proofErr w:type="spellEnd"/>
            <w:r w:rsidRPr="002D6389">
              <w:rPr>
                <w:rFonts w:ascii="Times New Roman" w:eastAsia="Times New Roman" w:hAnsi="Times New Roman" w:cs="Times New Roman"/>
              </w:rPr>
              <w:t>.</w:t>
            </w:r>
            <w:r w:rsidRPr="002D63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Політико-релігійні відносини в сучасному світі.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Сакральні основи політики та влади в </w:t>
            </w:r>
            <w:proofErr w:type="spellStart"/>
            <w:r w:rsidRPr="002D6389">
              <w:rPr>
                <w:rFonts w:ascii="Times New Roman" w:eastAsia="Times New Roman" w:hAnsi="Times New Roman" w:cs="Times New Roman"/>
              </w:rPr>
              <w:t>протосуспільстві</w:t>
            </w:r>
            <w:proofErr w:type="spellEnd"/>
            <w:r w:rsidRPr="002D638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Синкретизм політики та релігій в стародавніх цивілізаціях.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lastRenderedPageBreak/>
              <w:t xml:space="preserve">Домінування релігійних норм в політичному житті в епоху Середньовіччя. Формування світської теорії держави та політики в пізньому Середньовіччі.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Реформація та Відродження – зміна орієнтирів в співвідношенні політики та релігії.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Секуляризація та модель розділення політичного та релігійного.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Внутрішньодержавні та міжнародні релігійні розбіжності, що стають основою політичних конфліктів.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Державна політика та міжнародне право в сфері забезпечення свободи совісті та релігійної рівності.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389">
              <w:rPr>
                <w:rFonts w:ascii="Times New Roman" w:eastAsia="Times New Roman" w:hAnsi="Times New Roman" w:cs="Times New Roman"/>
              </w:rPr>
              <w:t>Модерування</w:t>
            </w:r>
            <w:proofErr w:type="spellEnd"/>
            <w:r w:rsidRPr="002D6389">
              <w:rPr>
                <w:rFonts w:ascii="Times New Roman" w:eastAsia="Times New Roman" w:hAnsi="Times New Roman" w:cs="Times New Roman"/>
              </w:rPr>
              <w:t xml:space="preserve"> політико-релігійних конфліктів.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Зіткнення цивілізацій: ісламський тероризм як прояв глобального конфлікту між мусульманським та християнським світом.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Ізраїльсько-палестинський конфлікт – найяскравіший приклад сучасних міжнародних політичних конфліктів з політичним </w:t>
            </w:r>
            <w:proofErr w:type="spellStart"/>
            <w:r w:rsidRPr="002D6389">
              <w:rPr>
                <w:rFonts w:ascii="Times New Roman" w:eastAsia="Times New Roman" w:hAnsi="Times New Roman" w:cs="Times New Roman"/>
              </w:rPr>
              <w:t>пігрунтям</w:t>
            </w:r>
            <w:proofErr w:type="spellEnd"/>
            <w:r w:rsidRPr="002D638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Тібетський конфлікт: стан та шляхи вирішення.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389">
              <w:rPr>
                <w:rFonts w:ascii="Times New Roman" w:eastAsia="Times New Roman" w:hAnsi="Times New Roman" w:cs="Times New Roman"/>
              </w:rPr>
              <w:t>Нагірно-карабахський</w:t>
            </w:r>
            <w:proofErr w:type="spellEnd"/>
            <w:r w:rsidRPr="002D6389">
              <w:rPr>
                <w:rFonts w:ascii="Times New Roman" w:eastAsia="Times New Roman" w:hAnsi="Times New Roman" w:cs="Times New Roman"/>
              </w:rPr>
              <w:t xml:space="preserve"> конфлікт.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Балканські конфлікти: релігійна складова.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Християнство як морально-світоглядна основа розвитку Західної  цивілізації.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Релігійна толерантність – ознака демократичного режиму.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Проблема мультикультуралізму та міграції: релігійна сторона.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Модель взаємного невтручання політики та релігії.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Релігія як символічна основа консолідації суспільства: можливості використання в політиці (досвід Заходу).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Іслам як одна з умов розвитку політичної свідомості населення </w:t>
            </w:r>
            <w:r>
              <w:rPr>
                <w:rFonts w:ascii="Times New Roman" w:eastAsia="Times New Roman" w:hAnsi="Times New Roman" w:cs="Times New Roman"/>
              </w:rPr>
              <w:t>Близького Сходу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Коран та закони шаріату.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Секуляризаційні процеси та </w:t>
            </w:r>
            <w:proofErr w:type="spellStart"/>
            <w:r w:rsidRPr="002D6389">
              <w:rPr>
                <w:rFonts w:ascii="Times New Roman" w:eastAsia="Times New Roman" w:hAnsi="Times New Roman" w:cs="Times New Roman"/>
              </w:rPr>
              <w:t>вестернізація</w:t>
            </w:r>
            <w:proofErr w:type="spellEnd"/>
            <w:r w:rsidRPr="002D6389">
              <w:rPr>
                <w:rFonts w:ascii="Times New Roman" w:eastAsia="Times New Roman" w:hAnsi="Times New Roman" w:cs="Times New Roman"/>
              </w:rPr>
              <w:t xml:space="preserve"> в ісламських країнах.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Ісламський тероризм як глобальна політична проблема сучасності.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Особливості включення релігійних норм та</w:t>
            </w:r>
            <w:r w:rsidRPr="002D63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6389">
              <w:rPr>
                <w:rFonts w:ascii="Times New Roman" w:eastAsia="Times New Roman" w:hAnsi="Times New Roman" w:cs="Times New Roman"/>
              </w:rPr>
              <w:t xml:space="preserve">традицій в суспільне та політичне життя в Індії.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lastRenderedPageBreak/>
              <w:t xml:space="preserve">Конфуціанство та комуністичний атеїзм в Китаї.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Особливості співвідношення політики та релігії: ізраїльська модель. </w:t>
            </w:r>
          </w:p>
          <w:p w:rsid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Накладання християнства та місцевих релігійних культів як особливість Латиноамериканського регіону.</w:t>
            </w:r>
          </w:p>
          <w:p w:rsid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Релігія як основа традиційного суспільства: проблеми розвитку пострадянських країн.</w:t>
            </w:r>
          </w:p>
          <w:p w:rsid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 xml:space="preserve">Політика та релігія в Росії: негативні тенденції та загрози правам громадян. </w:t>
            </w:r>
          </w:p>
          <w:p w:rsidR="002D6389" w:rsidRPr="002D6389" w:rsidRDefault="002D6389" w:rsidP="002D6389">
            <w:pPr>
              <w:pStyle w:val="a4"/>
              <w:numPr>
                <w:ilvl w:val="0"/>
                <w:numId w:val="31"/>
              </w:numPr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6389">
              <w:rPr>
                <w:rFonts w:ascii="Times New Roman" w:eastAsia="Times New Roman" w:hAnsi="Times New Roman" w:cs="Times New Roman"/>
              </w:rPr>
              <w:t>Релігійні відносини в українському суспільстві: державна політика в релігійній сфері.</w:t>
            </w:r>
          </w:p>
          <w:p w:rsidR="002508E0" w:rsidRDefault="002508E0" w:rsidP="002D6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08E0" w:rsidTr="006E39DE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2508E0" w:rsidRDefault="002508E0" w:rsidP="006E39DE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2508E0" w:rsidRDefault="002508E0" w:rsidP="002508E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2508E0" w:rsidRDefault="002508E0" w:rsidP="002508E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2508E0" w:rsidRDefault="002508E0" w:rsidP="002508E0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2508E0" w:rsidRDefault="002508E0" w:rsidP="002508E0">
      <w:pPr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2508E0" w:rsidRPr="00FD6AE5" w:rsidTr="002C3DA9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/ дата /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2508E0" w:rsidRPr="00FD6AE5" w:rsidTr="002C3DA9">
        <w:trPr>
          <w:trHeight w:val="30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 – 2.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 1: </w:t>
            </w:r>
            <w:r w:rsidR="00EC66A4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Політика та релігія як сфери суспільного життя.</w:t>
            </w:r>
          </w:p>
          <w:p w:rsidR="00EC66A4" w:rsidRPr="00FD6AE5" w:rsidRDefault="00EC66A4" w:rsidP="00FD6AE5">
            <w:pPr>
              <w:pStyle w:val="a4"/>
              <w:numPr>
                <w:ilvl w:val="0"/>
                <w:numId w:val="11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Теоретичні підходи до визначення та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взаємодетермінування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політики та релігії в сучасній науці. </w:t>
            </w:r>
          </w:p>
          <w:p w:rsidR="00EC66A4" w:rsidRPr="00FD6AE5" w:rsidRDefault="00EC66A4" w:rsidP="00FD6AE5">
            <w:pPr>
              <w:pStyle w:val="a4"/>
              <w:numPr>
                <w:ilvl w:val="0"/>
                <w:numId w:val="11"/>
              </w:numPr>
              <w:ind w:left="40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Релігія як основний фактор в цивілізаційному підході С.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Гантінгтона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508E0" w:rsidRPr="00FD6AE5" w:rsidRDefault="00EC66A4" w:rsidP="00FD6AE5">
            <w:pPr>
              <w:pStyle w:val="a4"/>
              <w:numPr>
                <w:ilvl w:val="0"/>
                <w:numId w:val="11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Політико-релігійні відносини в сучасному світі.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30 </w:t>
            </w:r>
          </w:p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7 год.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2C3DA9"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2508E0" w:rsidRPr="00FD6AE5" w:rsidTr="002C3DA9">
        <w:trPr>
          <w:trHeight w:val="9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30j0zll"/>
            <w:bookmarkEnd w:id="2"/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 – 4.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A4" w:rsidRPr="00FD6AE5" w:rsidRDefault="002508E0" w:rsidP="00FD6AE5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2: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6A4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Історичні особливості та моделі співвідношення політики та релігії.</w:t>
            </w:r>
          </w:p>
          <w:p w:rsidR="00EC66A4" w:rsidRPr="00FD6AE5" w:rsidRDefault="00EC66A4" w:rsidP="00FD6AE5">
            <w:pPr>
              <w:pStyle w:val="a4"/>
              <w:numPr>
                <w:ilvl w:val="0"/>
                <w:numId w:val="15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Сакральні основи політики та влади в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протосуспільстві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C66A4" w:rsidRPr="00FD6AE5" w:rsidRDefault="00EC66A4" w:rsidP="00FD6AE5">
            <w:pPr>
              <w:pStyle w:val="a4"/>
              <w:numPr>
                <w:ilvl w:val="0"/>
                <w:numId w:val="15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Синкретизм політики та релігій в стародавніх цивілізаціях. </w:t>
            </w:r>
          </w:p>
          <w:p w:rsidR="00EC66A4" w:rsidRPr="00FD6AE5" w:rsidRDefault="00EC66A4" w:rsidP="00FD6AE5">
            <w:pPr>
              <w:pStyle w:val="a4"/>
              <w:numPr>
                <w:ilvl w:val="0"/>
                <w:numId w:val="15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Домінування релігійних норм в політичному житті в епоху Середньовіччя. Формування світської теорії держави та політики в пізньому </w:t>
            </w: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Середньовіччі. </w:t>
            </w:r>
          </w:p>
          <w:p w:rsidR="00EC66A4" w:rsidRPr="00FD6AE5" w:rsidRDefault="00EC66A4" w:rsidP="00FD6AE5">
            <w:pPr>
              <w:pStyle w:val="a4"/>
              <w:numPr>
                <w:ilvl w:val="0"/>
                <w:numId w:val="15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Реформація та Відродження – зміна орієнтирів в співвідношенні політики та релігії. </w:t>
            </w:r>
          </w:p>
          <w:p w:rsidR="002508E0" w:rsidRPr="00FD6AE5" w:rsidRDefault="00EC66A4" w:rsidP="00FD6AE5">
            <w:pPr>
              <w:pStyle w:val="a4"/>
              <w:numPr>
                <w:ilvl w:val="0"/>
                <w:numId w:val="15"/>
              </w:numPr>
              <w:ind w:left="40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Секуляризація та модель розділення політичного та релігійного.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семінарське заняття</w:t>
            </w:r>
            <w:r w:rsidRPr="00FD6A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A9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30 </w:t>
            </w:r>
          </w:p>
          <w:p w:rsidR="002508E0" w:rsidRPr="00FD6AE5" w:rsidRDefault="002508E0" w:rsidP="00FD6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усного опитування, 7 год.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2508E0" w:rsidRPr="00FD6AE5" w:rsidTr="002C3DA9">
        <w:trPr>
          <w:trHeight w:val="28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A5219B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 – 6.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B" w:rsidRPr="00FD6AE5" w:rsidRDefault="002508E0" w:rsidP="00FD6AE5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3.</w:t>
            </w:r>
            <w:r w:rsidRPr="00FD6A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5219B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Політико-релігійний конфлікт: суть та особливості врегулювання.</w:t>
            </w:r>
          </w:p>
          <w:p w:rsidR="00A5219B" w:rsidRPr="00FD6AE5" w:rsidRDefault="00A5219B" w:rsidP="00FD6AE5">
            <w:pPr>
              <w:pStyle w:val="a4"/>
              <w:numPr>
                <w:ilvl w:val="0"/>
                <w:numId w:val="19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Внутрішньодержавні та міжнародні релігійні розбіжності, що стають основою політичних конфліктів. </w:t>
            </w:r>
          </w:p>
          <w:p w:rsidR="00A5219B" w:rsidRPr="00FD6AE5" w:rsidRDefault="00A5219B" w:rsidP="00FD6AE5">
            <w:pPr>
              <w:pStyle w:val="a4"/>
              <w:numPr>
                <w:ilvl w:val="0"/>
                <w:numId w:val="19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Державна політика та міжнародне право в сфері забезпечення свободи совісті та релігійної рівності. </w:t>
            </w:r>
          </w:p>
          <w:p w:rsidR="002508E0" w:rsidRPr="00FD6AE5" w:rsidRDefault="00A5219B" w:rsidP="00FD6AE5">
            <w:pPr>
              <w:pStyle w:val="a4"/>
              <w:numPr>
                <w:ilvl w:val="0"/>
                <w:numId w:val="19"/>
              </w:numPr>
              <w:ind w:left="40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Модерування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політико-релігійних конфліктів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A9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30 </w:t>
            </w:r>
          </w:p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контрольної роботи, 7 год.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2508E0" w:rsidRPr="00FD6AE5" w:rsidTr="002C3DA9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A5219B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 – 8.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19B" w:rsidRPr="00FD6AE5" w:rsidRDefault="002508E0" w:rsidP="00FD6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4.</w:t>
            </w:r>
            <w:r w:rsidRPr="00FD6A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5219B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Основні політико-релігійні конфлікти сучасності. </w:t>
            </w:r>
          </w:p>
          <w:p w:rsidR="00A5219B" w:rsidRPr="00FD6AE5" w:rsidRDefault="00A5219B" w:rsidP="00FD6AE5">
            <w:pPr>
              <w:pStyle w:val="a4"/>
              <w:numPr>
                <w:ilvl w:val="0"/>
                <w:numId w:val="22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Зіткнення цивілізацій: ісламський тероризм як прояв глобального конфлікту між мусульманським та християнським світом. </w:t>
            </w:r>
          </w:p>
          <w:p w:rsidR="00A5219B" w:rsidRPr="00FD6AE5" w:rsidRDefault="00A5219B" w:rsidP="00FD6AE5">
            <w:pPr>
              <w:pStyle w:val="a4"/>
              <w:numPr>
                <w:ilvl w:val="0"/>
                <w:numId w:val="22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Ізраїльсько-палестинський конфлікт – найяскравіший приклад сучасних міжнародних політичних конфліктів з політичним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пігрунтям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5219B" w:rsidRPr="00FD6AE5" w:rsidRDefault="00A5219B" w:rsidP="00FD6AE5">
            <w:pPr>
              <w:pStyle w:val="a4"/>
              <w:numPr>
                <w:ilvl w:val="0"/>
                <w:numId w:val="22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Тібетський конфлікт: стан та шляхи вирішення. </w:t>
            </w:r>
          </w:p>
          <w:p w:rsidR="00A5219B" w:rsidRPr="00FD6AE5" w:rsidRDefault="00A5219B" w:rsidP="00FD6AE5">
            <w:pPr>
              <w:pStyle w:val="a4"/>
              <w:numPr>
                <w:ilvl w:val="0"/>
                <w:numId w:val="22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Нагірно-карабахський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конфлікт. </w:t>
            </w:r>
          </w:p>
          <w:p w:rsidR="002508E0" w:rsidRPr="00FD6AE5" w:rsidRDefault="00A5219B" w:rsidP="00FD6AE5">
            <w:pPr>
              <w:pStyle w:val="a4"/>
              <w:numPr>
                <w:ilvl w:val="0"/>
                <w:numId w:val="22"/>
              </w:numPr>
              <w:ind w:left="40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Балканські конфлікти: релігійна складова.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A9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30 </w:t>
            </w:r>
          </w:p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усного опитування, 8 год.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2508E0" w:rsidRPr="00FD6AE5" w:rsidTr="002C3DA9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EA4C35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 – 10.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C35" w:rsidRPr="00FD6AE5" w:rsidRDefault="002508E0" w:rsidP="00FD6AE5">
            <w:pPr>
              <w:ind w:lef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5.</w:t>
            </w:r>
            <w:r w:rsidRPr="00FD6A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A4C35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Розмежування політичної та релігійної сфер життя суспільства в країнах Західної цивілізації.</w:t>
            </w:r>
            <w:r w:rsidR="00EA4C35"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4C35" w:rsidRPr="00FD6AE5" w:rsidRDefault="00EA4C35" w:rsidP="00FD6AE5">
            <w:pPr>
              <w:pStyle w:val="a4"/>
              <w:numPr>
                <w:ilvl w:val="0"/>
                <w:numId w:val="24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Християнство як морально-світоглядна основа розвитку Західної  цивілізації.</w:t>
            </w:r>
          </w:p>
          <w:p w:rsidR="00EA4C35" w:rsidRPr="00FD6AE5" w:rsidRDefault="00EA4C35" w:rsidP="00FD6AE5">
            <w:pPr>
              <w:pStyle w:val="a4"/>
              <w:numPr>
                <w:ilvl w:val="0"/>
                <w:numId w:val="24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Релігійна толерантність – ознака демократичного режиму.</w:t>
            </w:r>
          </w:p>
          <w:p w:rsidR="00EA4C35" w:rsidRPr="00FD6AE5" w:rsidRDefault="00EA4C35" w:rsidP="00FD6AE5">
            <w:pPr>
              <w:pStyle w:val="a4"/>
              <w:numPr>
                <w:ilvl w:val="0"/>
                <w:numId w:val="24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мультикультуралізму та міграції: релігійна сторона. </w:t>
            </w:r>
          </w:p>
          <w:p w:rsidR="00EA4C35" w:rsidRPr="00FD6AE5" w:rsidRDefault="00EA4C35" w:rsidP="00FD6AE5">
            <w:pPr>
              <w:pStyle w:val="a4"/>
              <w:numPr>
                <w:ilvl w:val="0"/>
                <w:numId w:val="24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Модель взаємного невтручання політики та релігії. </w:t>
            </w:r>
          </w:p>
          <w:p w:rsidR="002508E0" w:rsidRPr="00FD6AE5" w:rsidRDefault="00EA4C35" w:rsidP="00FD6AE5">
            <w:pPr>
              <w:pStyle w:val="a4"/>
              <w:numPr>
                <w:ilvl w:val="0"/>
                <w:numId w:val="24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Релігія як символічна основа консолідації суспільства: можливості використання в політиці (досвід Заходу).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A9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30 </w:t>
            </w:r>
          </w:p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проект, 7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2508E0" w:rsidRPr="00FD6AE5" w:rsidTr="00A35DA8">
        <w:trPr>
          <w:trHeight w:val="56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8" w:rsidRPr="002E684C" w:rsidRDefault="00A35DA8" w:rsidP="002E68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 – 12.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8" w:rsidRPr="00FD6AE5" w:rsidRDefault="002508E0" w:rsidP="00FD6AE5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6.</w:t>
            </w:r>
            <w:r w:rsidRPr="00FD6A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35DA8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Накладання політичних та релігійних норм в країнах Ісламської цивілізації. </w:t>
            </w:r>
          </w:p>
          <w:p w:rsidR="00A35DA8" w:rsidRPr="00FD6AE5" w:rsidRDefault="00A35DA8" w:rsidP="00FD6AE5">
            <w:pPr>
              <w:pStyle w:val="a4"/>
              <w:numPr>
                <w:ilvl w:val="0"/>
                <w:numId w:val="26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Іслам як одна з умов розвитку політичної свідомості населення регіону.</w:t>
            </w:r>
          </w:p>
          <w:p w:rsidR="00A35DA8" w:rsidRPr="00FD6AE5" w:rsidRDefault="00A35DA8" w:rsidP="00FD6AE5">
            <w:pPr>
              <w:pStyle w:val="a4"/>
              <w:numPr>
                <w:ilvl w:val="0"/>
                <w:numId w:val="26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Коран та закони шаріату.</w:t>
            </w:r>
          </w:p>
          <w:p w:rsidR="00A35DA8" w:rsidRPr="00FD6AE5" w:rsidRDefault="00A35DA8" w:rsidP="00FD6AE5">
            <w:pPr>
              <w:pStyle w:val="a4"/>
              <w:numPr>
                <w:ilvl w:val="0"/>
                <w:numId w:val="26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Секуляризаційні процеси та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вестернізація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ісламських країнах.</w:t>
            </w:r>
          </w:p>
          <w:p w:rsidR="002508E0" w:rsidRPr="00FD6AE5" w:rsidRDefault="00A35DA8" w:rsidP="00FD6AE5">
            <w:pPr>
              <w:pStyle w:val="a4"/>
              <w:numPr>
                <w:ilvl w:val="0"/>
                <w:numId w:val="26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Ісламський тероризм як глобальна політична проблема сучасності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A9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30 </w:t>
            </w:r>
          </w:p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контрольної роботи, 7 год.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A9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2508E0" w:rsidRPr="00FD6AE5" w:rsidTr="002C3DA9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8" w:rsidRPr="00FD6AE5" w:rsidRDefault="00A35DA8" w:rsidP="002E68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 – 14.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8" w:rsidRPr="00FD6AE5" w:rsidRDefault="002508E0" w:rsidP="00FD6AE5">
            <w:pPr>
              <w:ind w:left="4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7.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5DA8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Політика та релігія: особливості співвідношення в </w:t>
            </w:r>
            <w:r w:rsidR="00A35DA8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інших культурах та цивілізаціях.</w:t>
            </w:r>
          </w:p>
          <w:p w:rsidR="00A35DA8" w:rsidRPr="00FD6AE5" w:rsidRDefault="00A35DA8" w:rsidP="00FD6AE5">
            <w:pPr>
              <w:pStyle w:val="a4"/>
              <w:numPr>
                <w:ilvl w:val="0"/>
                <w:numId w:val="28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Особливості включення релігійних норм та</w:t>
            </w:r>
            <w:r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традицій в суспільне та політичне життя в Індії. </w:t>
            </w:r>
          </w:p>
          <w:p w:rsidR="00A35DA8" w:rsidRPr="00FD6AE5" w:rsidRDefault="00A35DA8" w:rsidP="00FD6AE5">
            <w:pPr>
              <w:pStyle w:val="a4"/>
              <w:numPr>
                <w:ilvl w:val="0"/>
                <w:numId w:val="28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Конфуціанство та комуністичний атеїзм в Китаї. </w:t>
            </w:r>
          </w:p>
          <w:p w:rsidR="00A35DA8" w:rsidRPr="00FD6AE5" w:rsidRDefault="00A35DA8" w:rsidP="00FD6AE5">
            <w:pPr>
              <w:pStyle w:val="a4"/>
              <w:numPr>
                <w:ilvl w:val="0"/>
                <w:numId w:val="28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Особливості співвідношення політики та релігії: ізраїльська модель. </w:t>
            </w:r>
          </w:p>
          <w:p w:rsidR="002508E0" w:rsidRPr="00FD6AE5" w:rsidRDefault="00A35DA8" w:rsidP="00FD6AE5">
            <w:pPr>
              <w:pStyle w:val="a4"/>
              <w:numPr>
                <w:ilvl w:val="0"/>
                <w:numId w:val="28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Накладання християнства та місцевих релігійних культів як особливість Латиноамериканського регіону.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Лекція, семінарське 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A9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– 30 </w:t>
            </w:r>
          </w:p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тесту, 7 год.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Поточне семінарське 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заняття</w:t>
            </w:r>
          </w:p>
        </w:tc>
      </w:tr>
      <w:tr w:rsidR="002508E0" w:rsidRPr="00FD6AE5" w:rsidTr="00FD6AE5">
        <w:trPr>
          <w:trHeight w:val="4169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A35DA8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 – 16.</w:t>
            </w:r>
          </w:p>
          <w:p w:rsidR="002508E0" w:rsidRPr="00FD6AE5" w:rsidRDefault="00EC66A4" w:rsidP="00FD6A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</w:t>
            </w:r>
            <w:r w:rsidR="002508E0"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E5" w:rsidRPr="00FD6AE5" w:rsidRDefault="002508E0" w:rsidP="00FD6AE5">
            <w:pPr>
              <w:ind w:lef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8.</w:t>
            </w:r>
            <w:r w:rsidRPr="00FD6A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D6AE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="00FD6AE5" w:rsidRPr="00FD6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Політико-релігійні відносини на пострадянському просторі.</w:t>
            </w:r>
          </w:p>
          <w:p w:rsidR="00FD6AE5" w:rsidRPr="00FD6AE5" w:rsidRDefault="00FD6AE5" w:rsidP="00FD6AE5">
            <w:pPr>
              <w:pStyle w:val="a4"/>
              <w:numPr>
                <w:ilvl w:val="0"/>
                <w:numId w:val="30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Умови розвитку релігійної свідомості в регіоні.</w:t>
            </w:r>
          </w:p>
          <w:p w:rsidR="00FD6AE5" w:rsidRPr="00FD6AE5" w:rsidRDefault="00FD6AE5" w:rsidP="00FD6AE5">
            <w:pPr>
              <w:pStyle w:val="a4"/>
              <w:numPr>
                <w:ilvl w:val="0"/>
                <w:numId w:val="30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Релігія як основа традиційного суспільства: проблеми розвитку пострадянських країн.</w:t>
            </w:r>
          </w:p>
          <w:p w:rsidR="00FD6AE5" w:rsidRPr="00FD6AE5" w:rsidRDefault="00FD6AE5" w:rsidP="00FD6AE5">
            <w:pPr>
              <w:pStyle w:val="a4"/>
              <w:numPr>
                <w:ilvl w:val="0"/>
                <w:numId w:val="30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Політика та релігія в Росії: негативні тенденції та загрози правам громадян. </w:t>
            </w:r>
          </w:p>
          <w:p w:rsidR="002508E0" w:rsidRPr="00FD6AE5" w:rsidRDefault="00FD6AE5" w:rsidP="00FD6AE5">
            <w:pPr>
              <w:pStyle w:val="a4"/>
              <w:numPr>
                <w:ilvl w:val="0"/>
                <w:numId w:val="30"/>
              </w:numPr>
              <w:ind w:left="4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>Релігійні відносини в українському суспільстві: державна політика в релігійній сфері.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2508E0" w:rsidRPr="00FD6AE5" w:rsidRDefault="002508E0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A9" w:rsidRPr="00FD6AE5" w:rsidRDefault="002C3DA9" w:rsidP="00FD6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30 </w:t>
            </w:r>
          </w:p>
          <w:p w:rsidR="002508E0" w:rsidRPr="00FD6AE5" w:rsidRDefault="002508E0" w:rsidP="00FD6A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8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E0" w:rsidRPr="00FD6AE5" w:rsidRDefault="002C3DA9" w:rsidP="00FD6AE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</w:tbl>
    <w:p w:rsidR="003462CB" w:rsidRDefault="003462CB"/>
    <w:sectPr w:rsidR="003462CB" w:rsidSect="00CE524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FD3"/>
    <w:multiLevelType w:val="hybridMultilevel"/>
    <w:tmpl w:val="F1D63AFC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99C"/>
    <w:multiLevelType w:val="hybridMultilevel"/>
    <w:tmpl w:val="F1A0167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031"/>
    <w:multiLevelType w:val="hybridMultilevel"/>
    <w:tmpl w:val="B9E874F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1F2"/>
    <w:multiLevelType w:val="hybridMultilevel"/>
    <w:tmpl w:val="571EAE00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70A5504"/>
    <w:multiLevelType w:val="hybridMultilevel"/>
    <w:tmpl w:val="6C72E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0795"/>
    <w:multiLevelType w:val="hybridMultilevel"/>
    <w:tmpl w:val="3AB0F75A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A3611E3"/>
    <w:multiLevelType w:val="hybridMultilevel"/>
    <w:tmpl w:val="E73201C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D20A5"/>
    <w:multiLevelType w:val="hybridMultilevel"/>
    <w:tmpl w:val="3F0C1EBE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5CB5F39"/>
    <w:multiLevelType w:val="hybridMultilevel"/>
    <w:tmpl w:val="A490A75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2D25"/>
    <w:multiLevelType w:val="hybridMultilevel"/>
    <w:tmpl w:val="632C2F3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A22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E6610"/>
    <w:multiLevelType w:val="hybridMultilevel"/>
    <w:tmpl w:val="67CC6FCA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4A65BB9"/>
    <w:multiLevelType w:val="hybridMultilevel"/>
    <w:tmpl w:val="006EB8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7752E"/>
    <w:multiLevelType w:val="hybridMultilevel"/>
    <w:tmpl w:val="91D413F2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D19B5"/>
    <w:multiLevelType w:val="hybridMultilevel"/>
    <w:tmpl w:val="0D0A7BE6"/>
    <w:lvl w:ilvl="0" w:tplc="9C284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87653"/>
    <w:multiLevelType w:val="hybridMultilevel"/>
    <w:tmpl w:val="27C2BE1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B511B"/>
    <w:multiLevelType w:val="hybridMultilevel"/>
    <w:tmpl w:val="D3282C38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5B37D70"/>
    <w:multiLevelType w:val="hybridMultilevel"/>
    <w:tmpl w:val="0C9405C4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>
      <w:start w:val="1"/>
      <w:numFmt w:val="lowerLetter"/>
      <w:lvlText w:val="%2."/>
      <w:lvlJc w:val="left"/>
      <w:pPr>
        <w:ind w:left="1485" w:hanging="360"/>
      </w:pPr>
    </w:lvl>
    <w:lvl w:ilvl="2" w:tplc="0422001B">
      <w:start w:val="1"/>
      <w:numFmt w:val="lowerRoman"/>
      <w:lvlText w:val="%3."/>
      <w:lvlJc w:val="right"/>
      <w:pPr>
        <w:ind w:left="2205" w:hanging="180"/>
      </w:pPr>
    </w:lvl>
    <w:lvl w:ilvl="3" w:tplc="0422000F">
      <w:start w:val="1"/>
      <w:numFmt w:val="decimal"/>
      <w:lvlText w:val="%4."/>
      <w:lvlJc w:val="left"/>
      <w:pPr>
        <w:ind w:left="2925" w:hanging="360"/>
      </w:pPr>
    </w:lvl>
    <w:lvl w:ilvl="4" w:tplc="04220019">
      <w:start w:val="1"/>
      <w:numFmt w:val="lowerLetter"/>
      <w:lvlText w:val="%5."/>
      <w:lvlJc w:val="left"/>
      <w:pPr>
        <w:ind w:left="3645" w:hanging="360"/>
      </w:pPr>
    </w:lvl>
    <w:lvl w:ilvl="5" w:tplc="0422001B">
      <w:start w:val="1"/>
      <w:numFmt w:val="lowerRoman"/>
      <w:lvlText w:val="%6."/>
      <w:lvlJc w:val="right"/>
      <w:pPr>
        <w:ind w:left="4365" w:hanging="180"/>
      </w:pPr>
    </w:lvl>
    <w:lvl w:ilvl="6" w:tplc="0422000F">
      <w:start w:val="1"/>
      <w:numFmt w:val="decimal"/>
      <w:lvlText w:val="%7."/>
      <w:lvlJc w:val="left"/>
      <w:pPr>
        <w:ind w:left="5085" w:hanging="360"/>
      </w:pPr>
    </w:lvl>
    <w:lvl w:ilvl="7" w:tplc="04220019">
      <w:start w:val="1"/>
      <w:numFmt w:val="lowerLetter"/>
      <w:lvlText w:val="%8."/>
      <w:lvlJc w:val="left"/>
      <w:pPr>
        <w:ind w:left="5805" w:hanging="360"/>
      </w:pPr>
    </w:lvl>
    <w:lvl w:ilvl="8" w:tplc="0422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A1F242E"/>
    <w:multiLevelType w:val="hybridMultilevel"/>
    <w:tmpl w:val="82486B5A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31863"/>
    <w:multiLevelType w:val="hybridMultilevel"/>
    <w:tmpl w:val="71BEFCB8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01E2B14"/>
    <w:multiLevelType w:val="hybridMultilevel"/>
    <w:tmpl w:val="BA944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6BAD"/>
    <w:multiLevelType w:val="multilevel"/>
    <w:tmpl w:val="4C9A034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322508B"/>
    <w:multiLevelType w:val="hybridMultilevel"/>
    <w:tmpl w:val="4AE0F93E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474CB"/>
    <w:multiLevelType w:val="hybridMultilevel"/>
    <w:tmpl w:val="B3F68956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7EE70C9"/>
    <w:multiLevelType w:val="hybridMultilevel"/>
    <w:tmpl w:val="54441732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2243C"/>
    <w:multiLevelType w:val="multilevel"/>
    <w:tmpl w:val="7FC4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9604A7C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C022F"/>
    <w:multiLevelType w:val="hybridMultilevel"/>
    <w:tmpl w:val="F0129100"/>
    <w:lvl w:ilvl="0" w:tplc="0422000F">
      <w:start w:val="1"/>
      <w:numFmt w:val="decimal"/>
      <w:lvlText w:val="%1."/>
      <w:lvlJc w:val="left"/>
      <w:pPr>
        <w:ind w:left="1485" w:hanging="360"/>
      </w:pPr>
    </w:lvl>
    <w:lvl w:ilvl="1" w:tplc="04220019" w:tentative="1">
      <w:start w:val="1"/>
      <w:numFmt w:val="lowerLetter"/>
      <w:lvlText w:val="%2."/>
      <w:lvlJc w:val="left"/>
      <w:pPr>
        <w:ind w:left="2205" w:hanging="360"/>
      </w:pPr>
    </w:lvl>
    <w:lvl w:ilvl="2" w:tplc="0422001B" w:tentative="1">
      <w:start w:val="1"/>
      <w:numFmt w:val="lowerRoman"/>
      <w:lvlText w:val="%3."/>
      <w:lvlJc w:val="right"/>
      <w:pPr>
        <w:ind w:left="2925" w:hanging="180"/>
      </w:pPr>
    </w:lvl>
    <w:lvl w:ilvl="3" w:tplc="0422000F" w:tentative="1">
      <w:start w:val="1"/>
      <w:numFmt w:val="decimal"/>
      <w:lvlText w:val="%4."/>
      <w:lvlJc w:val="left"/>
      <w:pPr>
        <w:ind w:left="3645" w:hanging="360"/>
      </w:pPr>
    </w:lvl>
    <w:lvl w:ilvl="4" w:tplc="04220019" w:tentative="1">
      <w:start w:val="1"/>
      <w:numFmt w:val="lowerLetter"/>
      <w:lvlText w:val="%5."/>
      <w:lvlJc w:val="left"/>
      <w:pPr>
        <w:ind w:left="4365" w:hanging="360"/>
      </w:pPr>
    </w:lvl>
    <w:lvl w:ilvl="5" w:tplc="0422001B" w:tentative="1">
      <w:start w:val="1"/>
      <w:numFmt w:val="lowerRoman"/>
      <w:lvlText w:val="%6."/>
      <w:lvlJc w:val="right"/>
      <w:pPr>
        <w:ind w:left="5085" w:hanging="180"/>
      </w:pPr>
    </w:lvl>
    <w:lvl w:ilvl="6" w:tplc="0422000F" w:tentative="1">
      <w:start w:val="1"/>
      <w:numFmt w:val="decimal"/>
      <w:lvlText w:val="%7."/>
      <w:lvlJc w:val="left"/>
      <w:pPr>
        <w:ind w:left="5805" w:hanging="360"/>
      </w:pPr>
    </w:lvl>
    <w:lvl w:ilvl="7" w:tplc="04220019" w:tentative="1">
      <w:start w:val="1"/>
      <w:numFmt w:val="lowerLetter"/>
      <w:lvlText w:val="%8."/>
      <w:lvlJc w:val="left"/>
      <w:pPr>
        <w:ind w:left="6525" w:hanging="360"/>
      </w:pPr>
    </w:lvl>
    <w:lvl w:ilvl="8" w:tplc="042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B7D99"/>
    <w:multiLevelType w:val="hybridMultilevel"/>
    <w:tmpl w:val="5AB2E73E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27"/>
  </w:num>
  <w:num w:numId="5">
    <w:abstractNumId w:val="29"/>
  </w:num>
  <w:num w:numId="6">
    <w:abstractNumId w:val="16"/>
  </w:num>
  <w:num w:numId="7">
    <w:abstractNumId w:val="3"/>
  </w:num>
  <w:num w:numId="8">
    <w:abstractNumId w:val="28"/>
  </w:num>
  <w:num w:numId="9">
    <w:abstractNumId w:val="7"/>
  </w:num>
  <w:num w:numId="10">
    <w:abstractNumId w:val="12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9"/>
  </w:num>
  <w:num w:numId="16">
    <w:abstractNumId w:val="5"/>
  </w:num>
  <w:num w:numId="17">
    <w:abstractNumId w:val="6"/>
  </w:num>
  <w:num w:numId="18">
    <w:abstractNumId w:val="21"/>
  </w:num>
  <w:num w:numId="19">
    <w:abstractNumId w:val="0"/>
  </w:num>
  <w:num w:numId="20">
    <w:abstractNumId w:val="4"/>
  </w:num>
  <w:num w:numId="21">
    <w:abstractNumId w:val="13"/>
  </w:num>
  <w:num w:numId="22">
    <w:abstractNumId w:val="1"/>
  </w:num>
  <w:num w:numId="23">
    <w:abstractNumId w:val="24"/>
  </w:num>
  <w:num w:numId="24">
    <w:abstractNumId w:val="23"/>
  </w:num>
  <w:num w:numId="25">
    <w:abstractNumId w:val="19"/>
  </w:num>
  <w:num w:numId="26">
    <w:abstractNumId w:val="8"/>
  </w:num>
  <w:num w:numId="27">
    <w:abstractNumId w:val="30"/>
  </w:num>
  <w:num w:numId="28">
    <w:abstractNumId w:val="25"/>
  </w:num>
  <w:num w:numId="29">
    <w:abstractNumId w:val="22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31"/>
    <w:rsid w:val="00103C60"/>
    <w:rsid w:val="001A16A1"/>
    <w:rsid w:val="002508E0"/>
    <w:rsid w:val="002C3DA9"/>
    <w:rsid w:val="002D6389"/>
    <w:rsid w:val="002E684C"/>
    <w:rsid w:val="003462CB"/>
    <w:rsid w:val="004771DA"/>
    <w:rsid w:val="00531E86"/>
    <w:rsid w:val="00550530"/>
    <w:rsid w:val="00A35DA8"/>
    <w:rsid w:val="00A5219B"/>
    <w:rsid w:val="00B57AF6"/>
    <w:rsid w:val="00CD5929"/>
    <w:rsid w:val="00CF2319"/>
    <w:rsid w:val="00D74294"/>
    <w:rsid w:val="00DC4B0E"/>
    <w:rsid w:val="00EA4C35"/>
    <w:rsid w:val="00EC66A4"/>
    <w:rsid w:val="00F4241B"/>
    <w:rsid w:val="00FD6AE5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0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0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na.ilenk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9289</Words>
  <Characters>5295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joido</cp:lastModifiedBy>
  <cp:revision>17</cp:revision>
  <dcterms:created xsi:type="dcterms:W3CDTF">2020-04-05T10:24:00Z</dcterms:created>
  <dcterms:modified xsi:type="dcterms:W3CDTF">2020-09-02T07:56:00Z</dcterms:modified>
</cp:coreProperties>
</file>