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B76" w:rsidP="36FB9807" w:rsidRDefault="00DA3B76" w14:paraId="4C553913" w14:textId="77777777" w14:noSpellErr="1">
      <w:pPr>
        <w:spacing w:line="240" w:lineRule="auto"/>
        <w:jc w:val="center"/>
        <w:rPr>
          <w:sz w:val="24"/>
          <w:szCs w:val="24"/>
        </w:rPr>
      </w:pPr>
      <w:r w:rsidRPr="36FB9807" w:rsidR="00DA3B76">
        <w:rPr>
          <w:sz w:val="24"/>
          <w:szCs w:val="24"/>
        </w:rPr>
        <w:t xml:space="preserve">Анотація до </w:t>
      </w:r>
      <w:r w:rsidRPr="36FB9807" w:rsidR="00DA3B76">
        <w:rPr>
          <w:sz w:val="24"/>
          <w:szCs w:val="24"/>
        </w:rPr>
        <w:t>кваліфікаційної роботи</w:t>
      </w:r>
      <w:r w:rsidRPr="36FB9807" w:rsidR="00DA3B76">
        <w:rPr>
          <w:sz w:val="24"/>
          <w:szCs w:val="24"/>
        </w:rPr>
        <w:t xml:space="preserve"> </w:t>
      </w:r>
      <w:r w:rsidRPr="36FB9807" w:rsidR="00DA3B76">
        <w:rPr>
          <w:sz w:val="24"/>
          <w:szCs w:val="24"/>
        </w:rPr>
        <w:t>другого (магістерського) рівня вищої освіти</w:t>
      </w:r>
      <w:r w:rsidRPr="36FB9807" w:rsidR="00DA3B76">
        <w:rPr>
          <w:sz w:val="24"/>
          <w:szCs w:val="24"/>
        </w:rPr>
        <w:t xml:space="preserve"> на тему</w:t>
      </w:r>
    </w:p>
    <w:p w:rsidR="00DA3B76" w:rsidP="36FB9807" w:rsidRDefault="00DA3B76" w14:paraId="36B172DA" w14:textId="6A3B36B7" w14:noSpellErr="1">
      <w:pPr>
        <w:spacing w:line="240" w:lineRule="auto"/>
        <w:jc w:val="center"/>
        <w:rPr>
          <w:b w:val="1"/>
          <w:bCs w:val="1"/>
          <w:sz w:val="24"/>
          <w:szCs w:val="24"/>
        </w:rPr>
      </w:pPr>
      <w:r w:rsidRPr="36FB9807" w:rsidR="00DA3B76">
        <w:rPr>
          <w:b w:val="1"/>
          <w:bCs w:val="1"/>
          <w:sz w:val="24"/>
          <w:szCs w:val="24"/>
        </w:rPr>
        <w:t>Філософія Фрідріха Ніцше між політикою та культурою у ХХ – на початку ХХІ ст.</w:t>
      </w:r>
    </w:p>
    <w:p w:rsidRPr="00DA3B76" w:rsidR="00DA3B76" w:rsidP="36FB9807" w:rsidRDefault="00DA3B76" w14:paraId="5F6DED72" w14:textId="77777777">
      <w:pPr>
        <w:spacing w:line="240" w:lineRule="auto"/>
        <w:jc w:val="center"/>
        <w:rPr>
          <w:i w:val="1"/>
          <w:iCs w:val="1"/>
          <w:sz w:val="24"/>
          <w:szCs w:val="24"/>
        </w:rPr>
      </w:pPr>
      <w:r w:rsidRPr="36FB9807" w:rsidR="00DA3B76">
        <w:rPr>
          <w:i w:val="1"/>
          <w:iCs w:val="1"/>
          <w:sz w:val="24"/>
          <w:szCs w:val="24"/>
        </w:rPr>
        <w:t xml:space="preserve">Передрій Богдан Дмитрович; керівник: доц., д. </w:t>
      </w:r>
      <w:proofErr w:type="spellStart"/>
      <w:r w:rsidRPr="36FB9807" w:rsidR="00DA3B76">
        <w:rPr>
          <w:i w:val="1"/>
          <w:iCs w:val="1"/>
          <w:sz w:val="24"/>
          <w:szCs w:val="24"/>
        </w:rPr>
        <w:t>філос</w:t>
      </w:r>
      <w:proofErr w:type="spellEnd"/>
      <w:r w:rsidRPr="36FB9807" w:rsidR="00DA3B76">
        <w:rPr>
          <w:i w:val="1"/>
          <w:iCs w:val="1"/>
          <w:sz w:val="24"/>
          <w:szCs w:val="24"/>
        </w:rPr>
        <w:t xml:space="preserve">. н. </w:t>
      </w:r>
      <w:proofErr w:type="spellStart"/>
      <w:r w:rsidRPr="36FB9807" w:rsidR="00DA3B76">
        <w:rPr>
          <w:i w:val="1"/>
          <w:iCs w:val="1"/>
          <w:sz w:val="24"/>
          <w:szCs w:val="24"/>
        </w:rPr>
        <w:t>Дахній</w:t>
      </w:r>
      <w:proofErr w:type="spellEnd"/>
      <w:r w:rsidRPr="36FB9807" w:rsidR="00DA3B76">
        <w:rPr>
          <w:i w:val="1"/>
          <w:iCs w:val="1"/>
          <w:sz w:val="24"/>
          <w:szCs w:val="24"/>
        </w:rPr>
        <w:t xml:space="preserve"> Андрій Йосипович</w:t>
      </w:r>
    </w:p>
    <w:p w:rsidRPr="00FD49ED" w:rsidR="00C9614E" w:rsidP="36FB9807" w:rsidRDefault="00C9614E" w14:paraId="62325100" w14:textId="0E1780B6">
      <w:pPr>
        <w:spacing w:line="240" w:lineRule="auto"/>
        <w:jc w:val="both"/>
        <w:rPr>
          <w:sz w:val="24"/>
          <w:szCs w:val="24"/>
        </w:rPr>
      </w:pPr>
      <w:r w:rsidRPr="36FB9807" w:rsidR="00C9614E">
        <w:rPr>
          <w:sz w:val="24"/>
          <w:szCs w:val="24"/>
        </w:rPr>
        <w:t xml:space="preserve">Наскрізне дослідження певної філософської системи та її інтерпретації у культурі та суміжних полях дисциплін, перш за все, надає нам змогу розглянути певну концепцію в континуальному розвиткові та оцінити її не лише як явище, але і як процес інтелектуального життя. Внаслідок цього, перед нами може вибудуватися певна структурована система впливу та відголосків обраної нами, в якості відправної точки, філософської ідеї, моделі тощо. Вияв цієї системи, водночас, має потенціал репрезентуватись нам у якості </w:t>
      </w:r>
      <w:proofErr w:type="spellStart"/>
      <w:r w:rsidRPr="36FB9807" w:rsidR="00C9614E">
        <w:rPr>
          <w:sz w:val="24"/>
          <w:szCs w:val="24"/>
        </w:rPr>
        <w:t>ризоми</w:t>
      </w:r>
      <w:proofErr w:type="spellEnd"/>
      <w:r w:rsidRPr="36FB9807" w:rsidR="00C9614E">
        <w:rPr>
          <w:sz w:val="24"/>
          <w:szCs w:val="24"/>
        </w:rPr>
        <w:t xml:space="preserve"> ідей, котра, в свою чергу, і підпорядковується умовній «ієрархії відносно першоджерела», і, в той же час, цілковито заперечує ієрархічність спадкування, котру ми могли окреслити поняттям «філософської традиції». Даного роду підхід до вивчення проблеми надає нам низку переваг перед локальним дослідженням конкретного мислителя, школи чи проблеми та перед дослідженням традиції, що почасти зосереджується на одній із гілок інтерпретації. Серед цих переваг варто, насамперед, виділити змогу підійти до вивчення ключових понять філософської системи крізь критичний аналіз розбіжностей трактування певних концептів, що надає нам інструменти для уточнення та коригування розуміння першоджерела та тлумачення засадничих положень, що знаходяться у витоці інтерпретації. Звісно ж, нам потрібно пам’ятати й про певні недоліки – зокрема частковий редукціонізм при аналізі </w:t>
      </w:r>
      <w:proofErr w:type="spellStart"/>
      <w:r w:rsidRPr="36FB9807" w:rsidR="00C9614E">
        <w:rPr>
          <w:sz w:val="24"/>
          <w:szCs w:val="24"/>
        </w:rPr>
        <w:t>інтерпретативних</w:t>
      </w:r>
      <w:proofErr w:type="spellEnd"/>
      <w:r w:rsidRPr="36FB9807" w:rsidR="00C9614E">
        <w:rPr>
          <w:sz w:val="24"/>
          <w:szCs w:val="24"/>
        </w:rPr>
        <w:t xml:space="preserve"> моделей, котрого неможливо уникнути в дослідженнях такого роду, адже основним предметом у нас стає засаднича система понять, відголоски котрої ми знаходимо й тією чи іншою мірою виділяємо із їхнього дискурсу, намагаючись зіставити зі значенням, закладеним в першоджерелі.</w:t>
      </w:r>
    </w:p>
    <w:p w:rsidRPr="00FD49ED" w:rsidR="00C9614E" w:rsidP="36FB9807" w:rsidRDefault="00C9614E" w14:paraId="3F5A4ABC" w14:textId="77777777">
      <w:pPr>
        <w:spacing w:line="240" w:lineRule="auto"/>
        <w:ind w:firstLine="708"/>
        <w:jc w:val="both"/>
        <w:rPr>
          <w:sz w:val="24"/>
          <w:szCs w:val="24"/>
        </w:rPr>
      </w:pPr>
      <w:r w:rsidRPr="36FB9807" w:rsidR="00C9614E">
        <w:rPr>
          <w:b w:val="1"/>
          <w:bCs w:val="1"/>
          <w:sz w:val="24"/>
          <w:szCs w:val="24"/>
        </w:rPr>
        <w:t xml:space="preserve">Актуальність </w:t>
      </w:r>
      <w:r w:rsidRPr="36FB9807" w:rsidR="00C9614E">
        <w:rPr>
          <w:sz w:val="24"/>
          <w:szCs w:val="24"/>
        </w:rPr>
        <w:t xml:space="preserve">такого роду дослідження щодо філософії Фрідріха Ніцше, насамперед, спричинена інтелектуальним резонансом, який викликала постать цього мислителя у європейській філософській думці ХХ ст. й котрий зберігає свій відгомін й у філософських розмислах початку ХХІ ст. Виразною проблемою дослідження згаданого резонансу в контексті цього німецького мислителя стає подекуди радикальна полярність позицій, на котрі він здійснив вплив. Ми віднаходимо «відгомін Ніцше» не лише власне у філософії, але й у політиці, культурі, зрештою, й у мистецтві в його найрізноманітніших формах. Та ще більш вагомим варто вважати те, що цей «відгомін» звучить як «справа», так і «зліва»: від націонал-соціалістів до французьких «нових правих» та сучасних </w:t>
      </w:r>
      <w:proofErr w:type="spellStart"/>
      <w:r w:rsidRPr="36FB9807" w:rsidR="00C9614E">
        <w:rPr>
          <w:sz w:val="24"/>
          <w:szCs w:val="24"/>
        </w:rPr>
        <w:t>неореакціоністів</w:t>
      </w:r>
      <w:proofErr w:type="spellEnd"/>
      <w:r w:rsidRPr="36FB9807" w:rsidR="00C9614E">
        <w:rPr>
          <w:sz w:val="24"/>
          <w:szCs w:val="24"/>
        </w:rPr>
        <w:t xml:space="preserve"> з однієї сторони, а також від представників Франкфуртської школи до постмодерністів та сучасних анархістів з іншої. Водночас, поміж цими радикальними позиціями ми знаходимо численні спроби </w:t>
      </w:r>
      <w:proofErr w:type="spellStart"/>
      <w:r w:rsidRPr="36FB9807" w:rsidR="00C9614E">
        <w:rPr>
          <w:sz w:val="24"/>
          <w:szCs w:val="24"/>
        </w:rPr>
        <w:t>відрефлексувати</w:t>
      </w:r>
      <w:proofErr w:type="spellEnd"/>
      <w:r w:rsidRPr="36FB9807" w:rsidR="00C9614E">
        <w:rPr>
          <w:sz w:val="24"/>
          <w:szCs w:val="24"/>
        </w:rPr>
        <w:t xml:space="preserve"> філософську спадщину Ніцше крізь творення нового дискурсу, вбачаючи у постаті цього мислителя одного із </w:t>
      </w:r>
      <w:proofErr w:type="spellStart"/>
      <w:r w:rsidRPr="36FB9807" w:rsidR="00C9614E">
        <w:rPr>
          <w:sz w:val="24"/>
          <w:szCs w:val="24"/>
        </w:rPr>
        <w:t>предтеч</w:t>
      </w:r>
      <w:proofErr w:type="spellEnd"/>
      <w:r w:rsidRPr="36FB9807" w:rsidR="00C9614E">
        <w:rPr>
          <w:sz w:val="24"/>
          <w:szCs w:val="24"/>
        </w:rPr>
        <w:t xml:space="preserve"> трансгуманізму. З даної точки зору, за масштабами впливу та кількістю інтерпретацій спадщину Фрідріха Ніцше можна порівнювати з іншим вагомим німецьким мислителем Ґеорґом Вільгельмом Фрідріхом Геґелем.</w:t>
      </w:r>
    </w:p>
    <w:p w:rsidRPr="00FD49ED" w:rsidR="00DA3B76" w:rsidP="36FB9807" w:rsidRDefault="00C9614E" w14:paraId="1E277B60" w14:textId="77777777">
      <w:pPr>
        <w:spacing w:line="240" w:lineRule="auto"/>
        <w:ind w:firstLine="708"/>
        <w:jc w:val="both"/>
        <w:rPr>
          <w:sz w:val="24"/>
          <w:szCs w:val="24"/>
        </w:rPr>
      </w:pPr>
      <w:r w:rsidRPr="36FB9807" w:rsidR="00C9614E">
        <w:rPr>
          <w:sz w:val="24"/>
          <w:szCs w:val="24"/>
        </w:rPr>
        <w:t xml:space="preserve">Зрештою, згадані нами підходи намагаються використати філософію Фрідріха Ніцше як засадничу базу для побудови низки </w:t>
      </w:r>
      <w:proofErr w:type="spellStart"/>
      <w:r w:rsidRPr="36FB9807" w:rsidR="00C9614E">
        <w:rPr>
          <w:sz w:val="24"/>
          <w:szCs w:val="24"/>
        </w:rPr>
        <w:t>проєктів</w:t>
      </w:r>
      <w:proofErr w:type="spellEnd"/>
      <w:r w:rsidRPr="36FB9807" w:rsidR="00C9614E">
        <w:rPr>
          <w:sz w:val="24"/>
          <w:szCs w:val="24"/>
        </w:rPr>
        <w:t>, що оперують ідеями мислителя одразу на трьох рівнях: як власне філософськими конструктами; як джерелами політичної доктрини та як основою для побудови «нової» культури. У даному дослідженні ми ставимо собі за мету окреслити базові ідеї філософії Ніцше, що знаходять найширший відгомін та котрі можна назвати «стовпами» його філософії: виділення «</w:t>
      </w:r>
      <w:proofErr w:type="spellStart"/>
      <w:r w:rsidRPr="36FB9807" w:rsidR="00C9614E">
        <w:rPr>
          <w:sz w:val="24"/>
          <w:szCs w:val="24"/>
        </w:rPr>
        <w:t>аполлонійного</w:t>
      </w:r>
      <w:proofErr w:type="spellEnd"/>
      <w:r w:rsidRPr="36FB9807" w:rsidR="00C9614E">
        <w:rPr>
          <w:sz w:val="24"/>
          <w:szCs w:val="24"/>
        </w:rPr>
        <w:t>» та «</w:t>
      </w:r>
      <w:proofErr w:type="spellStart"/>
      <w:r w:rsidRPr="36FB9807" w:rsidR="00C9614E">
        <w:rPr>
          <w:sz w:val="24"/>
          <w:szCs w:val="24"/>
        </w:rPr>
        <w:t>діонісійного</w:t>
      </w:r>
      <w:proofErr w:type="spellEnd"/>
      <w:r w:rsidRPr="36FB9807" w:rsidR="00C9614E">
        <w:rPr>
          <w:sz w:val="24"/>
          <w:szCs w:val="24"/>
        </w:rPr>
        <w:t>» начал; ідея «волі до влади»; антропологія Надлюдини та ідея «переоцінки всіх цінностей». На даному етапі, ми маємо виявити основні аргументи та тези наведені філософом та показати, котрим чином вони об’єднуються в систему.</w:t>
      </w:r>
      <w:r w:rsidRPr="36FB9807" w:rsidR="00DA3B76">
        <w:rPr>
          <w:sz w:val="24"/>
          <w:szCs w:val="24"/>
        </w:rPr>
        <w:t xml:space="preserve"> </w:t>
      </w:r>
    </w:p>
    <w:p w:rsidRPr="00FD49ED" w:rsidR="00C9614E" w:rsidP="36FB9807" w:rsidRDefault="00C9614E" w14:paraId="2DB96900" w14:textId="73BFBFA1">
      <w:pPr>
        <w:spacing w:line="240" w:lineRule="auto"/>
        <w:ind w:firstLine="708"/>
        <w:jc w:val="both"/>
        <w:rPr>
          <w:sz w:val="24"/>
          <w:szCs w:val="24"/>
        </w:rPr>
      </w:pPr>
      <w:r w:rsidRPr="36FB9807" w:rsidR="00C9614E">
        <w:rPr>
          <w:sz w:val="24"/>
          <w:szCs w:val="24"/>
        </w:rPr>
        <w:t xml:space="preserve">Надалі, ми плануємо виділити поле інтерпретації, де покажемо, яким чином згадані концепти по-різному переймаються та розуміються в певних філософських системах, якою мірою та як саме вони інтеґруються до них. Здійснювати це варто, оглядаючись на </w:t>
      </w:r>
      <w:proofErr w:type="spellStart"/>
      <w:r w:rsidRPr="36FB9807" w:rsidR="00C9614E">
        <w:rPr>
          <w:sz w:val="24"/>
          <w:szCs w:val="24"/>
        </w:rPr>
        <w:t>соціо</w:t>
      </w:r>
      <w:proofErr w:type="spellEnd"/>
      <w:r w:rsidRPr="36FB9807" w:rsidR="00C9614E">
        <w:rPr>
          <w:sz w:val="24"/>
          <w:szCs w:val="24"/>
        </w:rPr>
        <w:t>-культурні засади періоду, в котрі творяться досліджувані ідеї, та намагаючись окреслювати паралелі поміж ними. Поряд із тим, ми намагатимемось реферувати до першоджерел, щоб виявляти сильні та слабкі сторони досліджуваних інтерпретацій.</w:t>
      </w:r>
    </w:p>
    <w:p w:rsidRPr="00FD49ED" w:rsidR="00C9614E" w:rsidP="36FB9807" w:rsidRDefault="00C9614E" w14:paraId="3CFDE058" w14:textId="77777777">
      <w:pPr>
        <w:spacing w:line="240" w:lineRule="auto"/>
        <w:ind w:firstLine="708"/>
        <w:jc w:val="both"/>
        <w:rPr>
          <w:sz w:val="24"/>
          <w:szCs w:val="24"/>
        </w:rPr>
      </w:pPr>
      <w:r w:rsidRPr="36FB9807" w:rsidR="00C9614E">
        <w:rPr>
          <w:sz w:val="24"/>
          <w:szCs w:val="24"/>
        </w:rPr>
        <w:t xml:space="preserve"> Зрештою, нам варто провести аналіз впливу філософії Ніцше на ХХ ст., оцінити актуальність цього мислителя, з огляду на початок ХХІ ст. та спробувати провести екстраполяцію </w:t>
      </w:r>
      <w:proofErr w:type="spellStart"/>
      <w:r w:rsidRPr="36FB9807" w:rsidR="00C9614E">
        <w:rPr>
          <w:sz w:val="24"/>
          <w:szCs w:val="24"/>
        </w:rPr>
        <w:t>ідейно</w:t>
      </w:r>
      <w:proofErr w:type="spellEnd"/>
      <w:r w:rsidRPr="36FB9807" w:rsidR="00C9614E">
        <w:rPr>
          <w:sz w:val="24"/>
          <w:szCs w:val="24"/>
        </w:rPr>
        <w:t xml:space="preserve">-ідеологічних парадигм, тією чи іншою мірою заснованих на концептах даного філософа, із минулого на сьогодення та найближче майбутнє. У результаті наше дослідження має потенціал володіти певним прогностичним елементом та </w:t>
      </w:r>
      <w:proofErr w:type="spellStart"/>
      <w:r w:rsidRPr="36FB9807" w:rsidR="00C9614E">
        <w:rPr>
          <w:sz w:val="24"/>
          <w:szCs w:val="24"/>
        </w:rPr>
        <w:t>надасть</w:t>
      </w:r>
      <w:proofErr w:type="spellEnd"/>
      <w:r w:rsidRPr="36FB9807" w:rsidR="00C9614E">
        <w:rPr>
          <w:sz w:val="24"/>
          <w:szCs w:val="24"/>
        </w:rPr>
        <w:t xml:space="preserve"> нам поле критики щодо того, наскільки інтерпретації змінили ідеї Ніцше, відносно першоджерела.</w:t>
      </w:r>
    </w:p>
    <w:p w:rsidRPr="00FD49ED" w:rsidR="00C9614E" w:rsidP="36FB9807" w:rsidRDefault="00C9614E" w14:paraId="72946469" w14:textId="77777777" w14:noSpellErr="1">
      <w:pPr>
        <w:spacing w:line="240" w:lineRule="auto"/>
        <w:ind w:firstLine="708"/>
        <w:jc w:val="both"/>
        <w:rPr>
          <w:sz w:val="24"/>
          <w:szCs w:val="24"/>
        </w:rPr>
      </w:pPr>
      <w:r w:rsidRPr="36FB9807" w:rsidR="00C9614E">
        <w:rPr>
          <w:sz w:val="24"/>
          <w:szCs w:val="24"/>
        </w:rPr>
        <w:t>У загальному підсумку, ми ставимо за мету отримати свого роду «карту ідей» Фрідріха Ніцше – починаючи від авторських напрацювань філософа та їх інтерпретацій у різних традиціях, і закінчуючи пост-ідеологічними відголосками його філософії у масовій культурі. Зрештою, перед нами стоїть низка фундаментальних запитань: ким був Фрідріх Ніцше для західної філософії? Що саме у філософії Ніцше знаходять як праві, так і ліві, вважаючи його своїм предтечою? Де і як віднайти самого Ніцше поміж його численних інтерпретацій?</w:t>
      </w:r>
    </w:p>
    <w:p w:rsidRPr="00FD49ED" w:rsidR="00C9614E" w:rsidP="36FB9807" w:rsidRDefault="00473879" w14:paraId="11FDBCCA" w14:textId="54D9384D" w14:noSpellErr="1">
      <w:pPr>
        <w:spacing w:line="240" w:lineRule="auto"/>
        <w:ind w:firstLine="708"/>
        <w:jc w:val="both"/>
        <w:rPr>
          <w:sz w:val="24"/>
          <w:szCs w:val="24"/>
        </w:rPr>
      </w:pPr>
      <w:r w:rsidRPr="36FB9807" w:rsidR="00473879">
        <w:rPr>
          <w:sz w:val="24"/>
          <w:szCs w:val="24"/>
        </w:rPr>
        <w:t xml:space="preserve">Тож </w:t>
      </w:r>
      <w:r w:rsidRPr="36FB9807" w:rsidR="00473879">
        <w:rPr>
          <w:b w:val="1"/>
          <w:bCs w:val="1"/>
          <w:sz w:val="24"/>
          <w:szCs w:val="24"/>
        </w:rPr>
        <w:t>м</w:t>
      </w:r>
      <w:r w:rsidRPr="36FB9807" w:rsidR="00C9614E">
        <w:rPr>
          <w:b w:val="1"/>
          <w:bCs w:val="1"/>
          <w:sz w:val="24"/>
          <w:szCs w:val="24"/>
        </w:rPr>
        <w:t>етою</w:t>
      </w:r>
      <w:r w:rsidRPr="36FB9807" w:rsidR="00473879">
        <w:rPr>
          <w:b w:val="1"/>
          <w:bCs w:val="1"/>
          <w:sz w:val="24"/>
          <w:szCs w:val="24"/>
        </w:rPr>
        <w:t xml:space="preserve"> даного</w:t>
      </w:r>
      <w:r w:rsidRPr="36FB9807" w:rsidR="00C9614E">
        <w:rPr>
          <w:b w:val="1"/>
          <w:bCs w:val="1"/>
          <w:sz w:val="24"/>
          <w:szCs w:val="24"/>
        </w:rPr>
        <w:t xml:space="preserve"> дослідження</w:t>
      </w:r>
      <w:r w:rsidRPr="36FB9807" w:rsidR="00C9614E">
        <w:rPr>
          <w:sz w:val="24"/>
          <w:szCs w:val="24"/>
        </w:rPr>
        <w:t xml:space="preserve"> є аналіз базових концептів філософії Фрідріха Ніцше та розгляд ряду їх інтерпретацій у філософській думці ХХ – початку ХХІ ст. з наміром продемонструвати вплив даного мислителя на культурно-політичні дискурси згаданого часового відрізку.</w:t>
      </w:r>
      <w:r w:rsidRPr="36FB9807" w:rsidR="00473879">
        <w:rPr>
          <w:sz w:val="24"/>
          <w:szCs w:val="24"/>
        </w:rPr>
        <w:t xml:space="preserve"> В його межах </w:t>
      </w:r>
      <w:r w:rsidRPr="36FB9807" w:rsidR="00473879">
        <w:rPr>
          <w:b w:val="1"/>
          <w:bCs w:val="1"/>
          <w:sz w:val="24"/>
          <w:szCs w:val="24"/>
        </w:rPr>
        <w:t>о</w:t>
      </w:r>
      <w:r w:rsidRPr="36FB9807" w:rsidR="00C9614E">
        <w:rPr>
          <w:b w:val="1"/>
          <w:bCs w:val="1"/>
          <w:sz w:val="24"/>
          <w:szCs w:val="24"/>
        </w:rPr>
        <w:t>б’єктом дослідження</w:t>
      </w:r>
      <w:r w:rsidRPr="36FB9807" w:rsidR="00C9614E">
        <w:rPr>
          <w:sz w:val="24"/>
          <w:szCs w:val="24"/>
        </w:rPr>
        <w:t xml:space="preserve"> </w:t>
      </w:r>
      <w:r w:rsidRPr="36FB9807" w:rsidR="00473879">
        <w:rPr>
          <w:sz w:val="24"/>
          <w:szCs w:val="24"/>
        </w:rPr>
        <w:t>постає</w:t>
      </w:r>
      <w:r w:rsidRPr="36FB9807" w:rsidR="00C9614E">
        <w:rPr>
          <w:sz w:val="24"/>
          <w:szCs w:val="24"/>
        </w:rPr>
        <w:t xml:space="preserve"> філософія Фрідріха Ніцше, ніцшеанська та пост-ніцшеанська традиція філософської думки ХХ – початку ХХІ ст.</w:t>
      </w:r>
      <w:r w:rsidRPr="36FB9807" w:rsidR="00473879">
        <w:rPr>
          <w:sz w:val="24"/>
          <w:szCs w:val="24"/>
        </w:rPr>
        <w:t xml:space="preserve">, а </w:t>
      </w:r>
      <w:r w:rsidRPr="36FB9807" w:rsidR="00473879">
        <w:rPr>
          <w:b w:val="1"/>
          <w:bCs w:val="1"/>
          <w:sz w:val="24"/>
          <w:szCs w:val="24"/>
        </w:rPr>
        <w:t>п</w:t>
      </w:r>
      <w:r w:rsidRPr="36FB9807" w:rsidR="00C9614E">
        <w:rPr>
          <w:b w:val="1"/>
          <w:bCs w:val="1"/>
          <w:sz w:val="24"/>
          <w:szCs w:val="24"/>
        </w:rPr>
        <w:t>редметом дослідження</w:t>
      </w:r>
      <w:r w:rsidRPr="36FB9807" w:rsidR="00C9614E">
        <w:rPr>
          <w:sz w:val="24"/>
          <w:szCs w:val="24"/>
        </w:rPr>
        <w:t xml:space="preserve"> </w:t>
      </w:r>
      <w:r w:rsidRPr="36FB9807" w:rsidR="00473879">
        <w:rPr>
          <w:sz w:val="24"/>
          <w:szCs w:val="24"/>
        </w:rPr>
        <w:t>–</w:t>
      </w:r>
      <w:r w:rsidRPr="36FB9807" w:rsidR="00C9614E">
        <w:rPr>
          <w:sz w:val="24"/>
          <w:szCs w:val="24"/>
        </w:rPr>
        <w:t xml:space="preserve"> аналіз базових концептів філософії Фрідріха Ніцше та її інтерпретацій «справа» та «зліва» у політичному та культурному контекстах Європи ХХ ст. і їхній вплив на сучасність.</w:t>
      </w:r>
    </w:p>
    <w:p w:rsidRPr="00FD49ED" w:rsidR="00473879" w:rsidP="36FB9807" w:rsidRDefault="00473879" w14:paraId="2C51D5AA" w14:textId="545750B4">
      <w:pPr>
        <w:spacing w:line="240" w:lineRule="auto"/>
        <w:jc w:val="both"/>
        <w:rPr>
          <w:b w:val="1"/>
          <w:bCs w:val="1"/>
          <w:sz w:val="24"/>
          <w:szCs w:val="24"/>
        </w:rPr>
      </w:pPr>
      <w:r w:rsidRPr="36FB9807" w:rsidR="00473879">
        <w:rPr>
          <w:b w:val="1"/>
          <w:bCs w:val="1"/>
          <w:i w:val="1"/>
          <w:iCs w:val="1"/>
          <w:sz w:val="24"/>
          <w:szCs w:val="24"/>
        </w:rPr>
        <w:t>Ключові слова:</w:t>
      </w:r>
      <w:r w:rsidRPr="36FB9807" w:rsidR="00473879">
        <w:rPr>
          <w:sz w:val="24"/>
          <w:szCs w:val="24"/>
        </w:rPr>
        <w:t xml:space="preserve"> Фрідріх</w:t>
      </w:r>
      <w:r w:rsidRPr="36FB9807" w:rsidR="00473879">
        <w:rPr>
          <w:b w:val="1"/>
          <w:bCs w:val="1"/>
          <w:sz w:val="24"/>
          <w:szCs w:val="24"/>
        </w:rPr>
        <w:t xml:space="preserve"> </w:t>
      </w:r>
      <w:r w:rsidRPr="36FB9807" w:rsidR="00473879">
        <w:rPr>
          <w:sz w:val="24"/>
          <w:szCs w:val="24"/>
        </w:rPr>
        <w:t xml:space="preserve">Ніцше, </w:t>
      </w:r>
      <w:proofErr w:type="spellStart"/>
      <w:r w:rsidRPr="36FB9807" w:rsidR="00473879">
        <w:rPr>
          <w:sz w:val="24"/>
          <w:szCs w:val="24"/>
        </w:rPr>
        <w:t>аполлонійне</w:t>
      </w:r>
      <w:proofErr w:type="spellEnd"/>
      <w:r w:rsidRPr="36FB9807" w:rsidR="00473879">
        <w:rPr>
          <w:sz w:val="24"/>
          <w:szCs w:val="24"/>
        </w:rPr>
        <w:t xml:space="preserve">, </w:t>
      </w:r>
      <w:proofErr w:type="spellStart"/>
      <w:r w:rsidRPr="36FB9807" w:rsidR="00473879">
        <w:rPr>
          <w:sz w:val="24"/>
          <w:szCs w:val="24"/>
        </w:rPr>
        <w:t>діонісійне</w:t>
      </w:r>
      <w:proofErr w:type="spellEnd"/>
      <w:r w:rsidRPr="36FB9807" w:rsidR="00473879">
        <w:rPr>
          <w:sz w:val="24"/>
          <w:szCs w:val="24"/>
        </w:rPr>
        <w:t xml:space="preserve">, Воля до влади, Вічне повернення, Надлюдина, «нові праві», </w:t>
      </w:r>
      <w:r w:rsidRPr="36FB9807" w:rsidR="00DA3B76">
        <w:rPr>
          <w:sz w:val="24"/>
          <w:szCs w:val="24"/>
        </w:rPr>
        <w:t>«нові ліві»</w:t>
      </w:r>
      <w:r w:rsidRPr="36FB9807" w:rsidR="00B357F8">
        <w:rPr>
          <w:sz w:val="24"/>
          <w:szCs w:val="24"/>
        </w:rPr>
        <w:t>,</w:t>
      </w:r>
      <w:r w:rsidRPr="36FB9807" w:rsidR="00DA3B76">
        <w:rPr>
          <w:sz w:val="24"/>
          <w:szCs w:val="24"/>
        </w:rPr>
        <w:t xml:space="preserve"> </w:t>
      </w:r>
      <w:r w:rsidRPr="36FB9807" w:rsidR="00752D5A">
        <w:rPr>
          <w:sz w:val="24"/>
          <w:szCs w:val="24"/>
        </w:rPr>
        <w:t xml:space="preserve">Ернст </w:t>
      </w:r>
      <w:proofErr w:type="spellStart"/>
      <w:r w:rsidRPr="36FB9807" w:rsidR="00752D5A">
        <w:rPr>
          <w:sz w:val="24"/>
          <w:szCs w:val="24"/>
        </w:rPr>
        <w:t>Юнґер</w:t>
      </w:r>
      <w:proofErr w:type="spellEnd"/>
      <w:r w:rsidRPr="36FB9807" w:rsidR="00752D5A">
        <w:rPr>
          <w:sz w:val="24"/>
          <w:szCs w:val="24"/>
        </w:rPr>
        <w:t>, Мартін Гайдеґґер,</w:t>
      </w:r>
      <w:r w:rsidRPr="36FB9807" w:rsidR="00752D5A">
        <w:rPr>
          <w:sz w:val="24"/>
          <w:szCs w:val="24"/>
        </w:rPr>
        <w:t xml:space="preserve"> Юліус </w:t>
      </w:r>
      <w:proofErr w:type="spellStart"/>
      <w:r w:rsidRPr="36FB9807" w:rsidR="00752D5A">
        <w:rPr>
          <w:sz w:val="24"/>
          <w:szCs w:val="24"/>
        </w:rPr>
        <w:t>Евола</w:t>
      </w:r>
      <w:proofErr w:type="spellEnd"/>
      <w:r w:rsidRPr="36FB9807" w:rsidR="00752D5A">
        <w:rPr>
          <w:sz w:val="24"/>
          <w:szCs w:val="24"/>
        </w:rPr>
        <w:t xml:space="preserve">, Жорж </w:t>
      </w:r>
      <w:proofErr w:type="spellStart"/>
      <w:r w:rsidRPr="36FB9807" w:rsidR="00752D5A">
        <w:rPr>
          <w:sz w:val="24"/>
          <w:szCs w:val="24"/>
        </w:rPr>
        <w:t>Батай</w:t>
      </w:r>
      <w:proofErr w:type="spellEnd"/>
      <w:r w:rsidRPr="36FB9807" w:rsidR="00752D5A">
        <w:rPr>
          <w:sz w:val="24"/>
          <w:szCs w:val="24"/>
        </w:rPr>
        <w:t>,</w:t>
      </w:r>
      <w:r w:rsidRPr="36FB9807" w:rsidR="00752D5A">
        <w:rPr>
          <w:sz w:val="24"/>
          <w:szCs w:val="24"/>
        </w:rPr>
        <w:t xml:space="preserve"> </w:t>
      </w:r>
      <w:proofErr w:type="spellStart"/>
      <w:r w:rsidRPr="36FB9807" w:rsidR="00473879">
        <w:rPr>
          <w:sz w:val="24"/>
          <w:szCs w:val="24"/>
        </w:rPr>
        <w:t>Герберт</w:t>
      </w:r>
      <w:proofErr w:type="spellEnd"/>
      <w:r w:rsidRPr="36FB9807" w:rsidR="00473879">
        <w:rPr>
          <w:sz w:val="24"/>
          <w:szCs w:val="24"/>
        </w:rPr>
        <w:t xml:space="preserve"> Маркузе, </w:t>
      </w:r>
      <w:proofErr w:type="spellStart"/>
      <w:r w:rsidRPr="36FB9807" w:rsidR="00473879">
        <w:rPr>
          <w:sz w:val="24"/>
          <w:szCs w:val="24"/>
        </w:rPr>
        <w:t>постмодерн</w:t>
      </w:r>
      <w:proofErr w:type="spellEnd"/>
      <w:r w:rsidRPr="36FB9807" w:rsidR="00473879">
        <w:rPr>
          <w:sz w:val="24"/>
          <w:szCs w:val="24"/>
        </w:rPr>
        <w:t xml:space="preserve">, </w:t>
      </w:r>
      <w:r w:rsidRPr="36FB9807" w:rsidR="00C26161">
        <w:rPr>
          <w:sz w:val="24"/>
          <w:szCs w:val="24"/>
        </w:rPr>
        <w:t xml:space="preserve">Мішель Фуко, </w:t>
      </w:r>
      <w:r w:rsidRPr="36FB9807" w:rsidR="00473879">
        <w:rPr>
          <w:sz w:val="24"/>
          <w:szCs w:val="24"/>
        </w:rPr>
        <w:t xml:space="preserve">трансгуманізм, </w:t>
      </w:r>
      <w:proofErr w:type="spellStart"/>
      <w:r w:rsidRPr="36FB9807" w:rsidR="00473879">
        <w:rPr>
          <w:sz w:val="24"/>
          <w:szCs w:val="24"/>
        </w:rPr>
        <w:t>акселераціонізм</w:t>
      </w:r>
      <w:proofErr w:type="spellEnd"/>
      <w:r w:rsidRPr="36FB9807" w:rsidR="00DA3B76">
        <w:rPr>
          <w:sz w:val="24"/>
          <w:szCs w:val="24"/>
        </w:rPr>
        <w:t>.</w:t>
      </w:r>
    </w:p>
    <w:sectPr w:rsidRPr="00FD49ED" w:rsidR="00473879">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7F1D"/>
    <w:multiLevelType w:val="hybridMultilevel"/>
    <w:tmpl w:val="864CB4C0"/>
    <w:lvl w:ilvl="0" w:tplc="04220001">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C1"/>
    <w:rsid w:val="001F51FF"/>
    <w:rsid w:val="003D3AC1"/>
    <w:rsid w:val="00473879"/>
    <w:rsid w:val="00752D5A"/>
    <w:rsid w:val="00B357F8"/>
    <w:rsid w:val="00C26161"/>
    <w:rsid w:val="00C9614E"/>
    <w:rsid w:val="00DA3B76"/>
    <w:rsid w:val="00E539FC"/>
    <w:rsid w:val="00FD49ED"/>
    <w:rsid w:val="36FB9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124D"/>
  <w15:chartTrackingRefBased/>
  <w15:docId w15:val="{6453F564-7DDF-4AD0-931B-231350A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C9614E"/>
    <w:rPr>
      <w:rFonts w:ascii="Times New Roman" w:hAnsi="Times New Roman"/>
      <w:sz w:val="28"/>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C9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Богдан Передрій</dc:creator>
  <keywords/>
  <dc:description/>
  <lastModifiedBy>Тетяна Янкович</lastModifiedBy>
  <revision>14</revision>
  <dcterms:created xsi:type="dcterms:W3CDTF">2021-12-12T16:04:00.0000000Z</dcterms:created>
  <dcterms:modified xsi:type="dcterms:W3CDTF">2021-12-13T15:00:27.7003391Z</dcterms:modified>
</coreProperties>
</file>