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Стандартний"/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i w:val="1"/>
          <w:iCs w:val="1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Шулак Мирослава</w:t>
      </w:r>
    </w:p>
    <w:p>
      <w:pPr>
        <w:pStyle w:val="Стандартний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Мистецтво музики як продукування вкладених сенсів через взаємодію абстрактної знакової системи і звукової фізичної природи</w:t>
      </w:r>
    </w:p>
    <w:p>
      <w:pPr>
        <w:pStyle w:val="Стандартний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Стандартний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  </w:t>
      </w:r>
    </w:p>
    <w:p>
      <w:pPr>
        <w:pStyle w:val="Стандартний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  Музика 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це специфічна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інтелектуально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духовн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а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 систем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а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з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 такими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іманентними їй властивостями як безпредметність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неможливість зведення до конкретних понять та абстрактність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Разом з тим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музика 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201F1E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це знакова система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 і попри її специфічність і найвищий рівень абстракції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семіотична природа музики дозволяє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з більшим чи меншим успіхом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проявляти для себе сенси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вкладені в музичний твір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Тому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ще до зародження семіотики музики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філософи і музикознавці вдавались до музичного аналізу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намагаючись виявити вкладені в музичний твір  сенси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Це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зазвичай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був аналіз окремих елементів музичної мови  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мелодії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ритму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гармонії тощо 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і їх семантичного навантаження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.</w:t>
      </w:r>
    </w:p>
    <w:p>
      <w:pPr>
        <w:pStyle w:val="Стандартний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    У Платона в «Державі»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 мож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емо знайти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класифікацію ладів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 Він ділить лади на кілька груп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жалісливі і плачевні 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міксолідійський і високий лідійський та інші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які мають бути заборонені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; 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кволі і розслабляючі 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(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іонійський і лідійський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які підходять більше для п’яниць і застілля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неприпустимі для воїна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благородно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мужній 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дорійський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який  охарактеризований  Платоном як найдосконаліший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мирно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товариський 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фригійський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який виражає проникливі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терпеливі і розумні відносини між людьми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  Відтак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розуміння вкладеного в музичний твір сенсу може відбутись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завдяки  знайомству з конвенціями  конкретного стилю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культури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епохи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що передує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власне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знайомству з конкретним музичним текстом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.</w:t>
      </w:r>
    </w:p>
    <w:p>
      <w:pPr>
        <w:pStyle w:val="Стандартний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   Сьогодні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враховуючи дещо новий вектор наукових пошуків 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поєднання  концептуального потенціалу семіотики з концептуальним потенціалом біології 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біосеміотика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когнітивної психології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нейробіології 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кібернетики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) 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семіотична методологія оперує не лише теоретичними положеннями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які стосуються музичної мови як абстрактної знакової системи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Наявні на даний момент дослідження з біосеміотики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когнітивної психології  дозволяють долучати до  семіотичного аналізу музики такий важливий фактор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як звук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звукове середовище 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будівничий матеріал музичного мистецтва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те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що музична мова покликана закарбовувати в нотах і інших музичних знаках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подібно словам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. </w:t>
      </w:r>
    </w:p>
    <w:p>
      <w:pPr>
        <w:pStyle w:val="Стандартний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   Важливо зазначити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що такий підхід до аналізу музичних повідомлень приводить і до принципово нового розуміння музики і процесу взаємодії з нею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Перед нами вже не стоїть проблема музичного знаку чи того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що конкретно означає цей знак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який сенс в нього вкладено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Відтепер ми мусимо враховувати набагато більше змінних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аби відповісти на питання 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як людина 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при тому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кожна окрема людина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сприймає музичну інформацію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як вона її обробляє і засвоює 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враховуючи особливості і можливості власного тіла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свій досвід і середовище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як вона визначає її сенси і смислове навантаження особисто для себе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Питання музичної семантики і знаку відходить на другий план в тому сенсі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що спочатку нам потрібно дослідити і зрозуміти механізми музичного сприйняття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і лиш тоді ми зможемо більш точно говорити про конкретне сприйняття конкретних музичних явищ конкретною людиною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. </w:t>
      </w:r>
    </w:p>
    <w:p>
      <w:pPr>
        <w:pStyle w:val="Стандартний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Стандартний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Times New Roman" w:hAnsi="Times New Roman" w:hint="default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Список використаної літератури</w:t>
      </w:r>
      <w:r>
        <w:rPr>
          <w:rFonts w:ascii="Times New Roman" w:hAnsi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:</w:t>
      </w:r>
    </w:p>
    <w:p>
      <w:pPr>
        <w:pStyle w:val="Стандартний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1f1f1e"/>
          <w:sz w:val="28"/>
          <w:szCs w:val="28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Основний текст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J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 xml:space="preserve">akob von Uexkull. </w:t>
      </w:r>
      <w:r>
        <w:rPr>
          <w:rFonts w:ascii="Times New Roman" w:hAnsi="Times New Roman"/>
          <w:sz w:val="28"/>
          <w:szCs w:val="28"/>
          <w:rtl w:val="0"/>
          <w:lang w:val="en-US"/>
        </w:rPr>
        <w:t>An introduction on Umwelt. URL</w:t>
      </w:r>
      <w:r>
        <w:rPr>
          <w:rFonts w:ascii="Times New Roman" w:hAnsi="Times New Roman"/>
          <w:sz w:val="28"/>
          <w:szCs w:val="28"/>
          <w:rtl w:val="0"/>
        </w:rPr>
        <w:t>: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"https://edisciplinas.usp.br/pluginfile.php/3437571/mod_resource/content/0/An%20introduction%20to%20Umwelt%20134_107%5B1%5D.pdf"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de-DE"/>
        </w:rPr>
        <w:t>https://edisciplinas.usp.br/pluginfile.php/3437571/mod_resource/content/0/An%20introduction%20to%20Umwelt%20134_107%5B1%5D.pdf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и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ий текст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 xml:space="preserve">Reybrouk M.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A Biosemiotic and Ecological Approach to Music Cognition: Event Perception Between Auditory Listening and Cognitive Economy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URL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"https://www.researchgate.net/publication"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https://www.researchgate.net/publication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240346676_A_Biosemiotic_and_Ecological_Approach_to_Music_Cognition_Event_Perception_Between_Auditory_Listening_and_Cognitive_Economy</w:t>
      </w:r>
    </w:p>
    <w:p>
      <w:pPr>
        <w:pStyle w:val="Основни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ий текст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 xml:space="preserve">Reybrouk M. </w:t>
      </w:r>
      <w:r>
        <w:rPr>
          <w:rFonts w:ascii="Times New Roman" w:hAnsi="Times New Roman"/>
          <w:sz w:val="28"/>
          <w:szCs w:val="28"/>
          <w:rtl w:val="0"/>
          <w:lang w:val="en-US"/>
        </w:rPr>
        <w:t>Music and Semiotics</w:t>
      </w:r>
      <w:r>
        <w:rPr>
          <w:rFonts w:ascii="Times New Roman" w:hAnsi="Times New Roman"/>
          <w:sz w:val="28"/>
          <w:szCs w:val="28"/>
          <w:rtl w:val="0"/>
        </w:rPr>
        <w:t>:</w:t>
      </w:r>
      <w:r>
        <w:rPr>
          <w:rFonts w:ascii="Times New Roman" w:hAnsi="Times New Roman"/>
          <w:sz w:val="28"/>
          <w:szCs w:val="28"/>
          <w:rtl w:val="0"/>
          <w:lang w:val="en-US"/>
        </w:rPr>
        <w:t>An Experiential Approach to Musical Sense-Making.  URL</w:t>
      </w:r>
      <w:r>
        <w:rPr>
          <w:rFonts w:ascii="Times New Roman" w:hAnsi="Times New Roman"/>
          <w:sz w:val="28"/>
          <w:szCs w:val="28"/>
          <w:rtl w:val="0"/>
        </w:rPr>
        <w:t>: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"https://www.intechopen.com/books/interdisciplinary-approaches-to-semiotics/music-and-semiotics-an-experiential-approach-to-musical-sense-making"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https://www.intechopen.com/books/interdisciplinary-approaches-to-semiotics/music-and-semiotics-an-experiential-approach-to-musical-sense-making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ий текст"/>
        <w:numPr>
          <w:ilvl w:val="0"/>
          <w:numId w:val="2"/>
        </w:numPr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Лос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в А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Ф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</w:rPr>
        <w:t>стор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</w:rPr>
        <w:t>я антично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й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</w:t>
      </w:r>
      <w:r>
        <w:rPr>
          <w:rFonts w:ascii="Times New Roman" w:hAnsi="Times New Roman" w:hint="default"/>
          <w:sz w:val="28"/>
          <w:szCs w:val="28"/>
          <w:rtl w:val="0"/>
        </w:rPr>
        <w:t>стетики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</w:rPr>
        <w:t>сока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клас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</w:rPr>
        <w:t>ика</w:t>
      </w:r>
      <w:r>
        <w:rPr>
          <w:rFonts w:ascii="Times New Roman" w:hAnsi="Times New Roman"/>
          <w:sz w:val="28"/>
          <w:szCs w:val="28"/>
          <w:rtl w:val="0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Ф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Лос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sz w:val="28"/>
          <w:szCs w:val="28"/>
          <w:rtl w:val="0"/>
        </w:rPr>
        <w:t>в</w:t>
      </w:r>
      <w:r>
        <w:rPr>
          <w:rFonts w:ascii="Times New Roman" w:hAnsi="Times New Roman"/>
          <w:sz w:val="28"/>
          <w:szCs w:val="28"/>
          <w:rtl w:val="0"/>
        </w:rPr>
        <w:t xml:space="preserve">. -  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 xml:space="preserve">.: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Искусство</w:t>
      </w:r>
      <w:r>
        <w:rPr>
          <w:rFonts w:ascii="Times New Roman" w:hAnsi="Times New Roman"/>
          <w:sz w:val="28"/>
          <w:szCs w:val="28"/>
          <w:rtl w:val="0"/>
        </w:rPr>
        <w:t xml:space="preserve">, 1974.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587</w:t>
      </w:r>
      <w:r>
        <w:rPr>
          <w:rFonts w:ascii="Times New Roman" w:hAnsi="Times New Roman" w:hint="default"/>
          <w:sz w:val="28"/>
          <w:szCs w:val="28"/>
          <w:rtl w:val="0"/>
        </w:rPr>
        <w:t>с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Номери"/>
  </w:abstractNum>
  <w:abstractNum w:abstractNumId="1">
    <w:multiLevelType w:val="hybridMultilevel"/>
    <w:styleLink w:val="Номери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Стандартний">
    <w:name w:val="Стандартний"/>
    <w:next w:val="Стандартн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ий текст">
    <w:name w:val="Основний текст"/>
    <w:next w:val="Основни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Номери">
    <w:name w:val="Номери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