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0E" w:rsidRPr="009E530E" w:rsidRDefault="009E530E" w:rsidP="009E530E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  <w:r w:rsidRPr="009E530E">
        <w:rPr>
          <w:rFonts w:ascii="Times New Roman" w:hAnsi="Times New Roman" w:cs="Times New Roman"/>
        </w:rPr>
        <w:t xml:space="preserve">МІНІСТЕРСТВО ОСВІТИ І </w:t>
      </w:r>
      <w:r w:rsidRPr="009E530E">
        <w:rPr>
          <w:rFonts w:ascii="Times New Roman" w:hAnsi="Times New Roman" w:cs="Times New Roman"/>
          <w:lang w:eastAsia="ru-RU" w:bidi="ru-RU"/>
        </w:rPr>
        <w:t xml:space="preserve">НАУКИ </w:t>
      </w:r>
      <w:r w:rsidRPr="009E530E">
        <w:rPr>
          <w:rFonts w:ascii="Times New Roman" w:hAnsi="Times New Roman" w:cs="Times New Roman"/>
        </w:rPr>
        <w:t>УКРАЇНИ</w:t>
      </w:r>
      <w:r w:rsidRPr="009E530E">
        <w:rPr>
          <w:rFonts w:ascii="Times New Roman" w:hAnsi="Times New Roman" w:cs="Times New Roman"/>
        </w:rPr>
        <w:br/>
        <w:t xml:space="preserve">Львівський національний університет імені Івана </w:t>
      </w:r>
      <w:r w:rsidRPr="009E530E">
        <w:rPr>
          <w:rFonts w:ascii="Times New Roman" w:hAnsi="Times New Roman" w:cs="Times New Roman"/>
          <w:lang w:eastAsia="ru-RU" w:bidi="ru-RU"/>
        </w:rPr>
        <w:t>Франка</w:t>
      </w:r>
      <w:r w:rsidRPr="009E530E">
        <w:rPr>
          <w:rFonts w:ascii="Times New Roman" w:hAnsi="Times New Roman" w:cs="Times New Roman"/>
          <w:lang w:eastAsia="ru-RU" w:bidi="ru-RU"/>
        </w:rPr>
        <w:br/>
        <w:t xml:space="preserve">Факультет </w:t>
      </w:r>
      <w:r w:rsidRPr="009E530E">
        <w:rPr>
          <w:rFonts w:ascii="Times New Roman" w:hAnsi="Times New Roman" w:cs="Times New Roman"/>
        </w:rPr>
        <w:t>філософський</w:t>
      </w:r>
      <w:r w:rsidRPr="009E530E">
        <w:rPr>
          <w:rFonts w:ascii="Times New Roman" w:hAnsi="Times New Roman" w:cs="Times New Roman"/>
        </w:rPr>
        <w:br/>
      </w:r>
      <w:r w:rsidRPr="009E530E">
        <w:rPr>
          <w:rFonts w:ascii="Times New Roman" w:hAnsi="Times New Roman" w:cs="Times New Roman"/>
          <w:lang w:eastAsia="ru-RU" w:bidi="ru-RU"/>
        </w:rPr>
        <w:t xml:space="preserve">Кафедра </w:t>
      </w:r>
      <w:r w:rsidRPr="009E530E">
        <w:rPr>
          <w:rFonts w:ascii="Times New Roman" w:hAnsi="Times New Roman" w:cs="Times New Roman"/>
        </w:rPr>
        <w:t>політології</w:t>
      </w:r>
    </w:p>
    <w:p w:rsidR="009E530E" w:rsidRDefault="009E530E" w:rsidP="009E530E">
      <w:pPr>
        <w:pStyle w:val="a9"/>
        <w:shd w:val="clear" w:color="auto" w:fill="auto"/>
        <w:spacing w:after="0" w:line="276" w:lineRule="auto"/>
        <w:ind w:left="7740" w:right="700"/>
        <w:jc w:val="right"/>
        <w:rPr>
          <w:b/>
          <w:bCs/>
        </w:rPr>
      </w:pPr>
      <w:r w:rsidRPr="000863A6">
        <w:rPr>
          <w:b/>
          <w:bCs/>
        </w:rPr>
        <w:t xml:space="preserve">Затверджено </w:t>
      </w:r>
    </w:p>
    <w:p w:rsidR="009E530E" w:rsidRDefault="009E530E" w:rsidP="009E530E">
      <w:pPr>
        <w:pStyle w:val="a9"/>
        <w:shd w:val="clear" w:color="auto" w:fill="auto"/>
        <w:spacing w:after="0" w:line="276" w:lineRule="auto"/>
        <w:ind w:left="7740" w:right="700"/>
        <w:jc w:val="right"/>
      </w:pPr>
      <w:r>
        <w:t>На засіданні кафедри політ</w:t>
      </w:r>
      <w:r w:rsidRPr="000863A6">
        <w:t xml:space="preserve">ології </w:t>
      </w:r>
    </w:p>
    <w:p w:rsidR="009E530E" w:rsidRDefault="009E530E" w:rsidP="009E530E">
      <w:pPr>
        <w:pStyle w:val="a9"/>
        <w:shd w:val="clear" w:color="auto" w:fill="auto"/>
        <w:spacing w:after="0" w:line="276" w:lineRule="auto"/>
        <w:ind w:left="7740" w:right="700"/>
        <w:jc w:val="right"/>
      </w:pPr>
      <w:r w:rsidRPr="000863A6">
        <w:t xml:space="preserve">філософського факультету </w:t>
      </w:r>
    </w:p>
    <w:p w:rsidR="009E530E" w:rsidRDefault="009E530E" w:rsidP="009E530E">
      <w:pPr>
        <w:pStyle w:val="a9"/>
        <w:shd w:val="clear" w:color="auto" w:fill="auto"/>
        <w:spacing w:after="0" w:line="276" w:lineRule="auto"/>
        <w:ind w:left="7740" w:right="700"/>
        <w:jc w:val="right"/>
      </w:pPr>
      <w:r w:rsidRPr="000863A6">
        <w:t xml:space="preserve">Львівського національного університету імені Івана Франка </w:t>
      </w:r>
    </w:p>
    <w:p w:rsidR="009E530E" w:rsidRDefault="009E530E" w:rsidP="009E530E">
      <w:pPr>
        <w:pStyle w:val="a9"/>
        <w:shd w:val="clear" w:color="auto" w:fill="auto"/>
        <w:spacing w:after="0" w:line="276" w:lineRule="auto"/>
        <w:ind w:left="7740" w:right="700"/>
        <w:jc w:val="right"/>
      </w:pPr>
      <w:r>
        <w:t>(протокол № 1 від 29</w:t>
      </w:r>
      <w:r w:rsidRPr="000863A6">
        <w:t xml:space="preserve">.08 2019 р.) </w:t>
      </w:r>
    </w:p>
    <w:p w:rsidR="009E530E" w:rsidRDefault="009E530E" w:rsidP="009E530E">
      <w:pPr>
        <w:pStyle w:val="a9"/>
        <w:shd w:val="clear" w:color="auto" w:fill="auto"/>
        <w:spacing w:after="0" w:line="276" w:lineRule="auto"/>
        <w:ind w:left="7740" w:right="700"/>
        <w:jc w:val="right"/>
      </w:pPr>
      <w:r w:rsidRPr="000863A6">
        <w:t>Завідува</w:t>
      </w:r>
      <w:r>
        <w:t>ч кафедри: проф. Романюк А.С.</w:t>
      </w:r>
    </w:p>
    <w:p w:rsidR="009E530E" w:rsidRDefault="009E530E" w:rsidP="009E530E">
      <w:pPr>
        <w:pStyle w:val="a9"/>
        <w:shd w:val="clear" w:color="auto" w:fill="auto"/>
        <w:spacing w:after="0" w:line="276" w:lineRule="auto"/>
        <w:ind w:left="11624" w:right="700"/>
        <w:jc w:val="center"/>
      </w:pPr>
      <w:r>
        <w:rPr>
          <w:noProof/>
        </w:rPr>
        <w:drawing>
          <wp:inline distT="0" distB="0" distL="0" distR="0">
            <wp:extent cx="1043940" cy="6286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30E" w:rsidRPr="000863A6" w:rsidRDefault="009E530E" w:rsidP="009E530E">
      <w:pPr>
        <w:pStyle w:val="Heading10"/>
        <w:keepNext/>
        <w:keepLines/>
        <w:shd w:val="clear" w:color="auto" w:fill="auto"/>
      </w:pPr>
      <w:proofErr w:type="spellStart"/>
      <w:r w:rsidRPr="000863A6">
        <w:rPr>
          <w:lang w:eastAsia="ru-RU" w:bidi="ru-RU"/>
        </w:rPr>
        <w:t>Силабус</w:t>
      </w:r>
      <w:proofErr w:type="spellEnd"/>
      <w:r w:rsidRPr="000863A6">
        <w:rPr>
          <w:lang w:eastAsia="ru-RU" w:bidi="ru-RU"/>
        </w:rPr>
        <w:t xml:space="preserve"> з </w:t>
      </w:r>
      <w:r w:rsidRPr="000863A6">
        <w:t>навчальної дисципліни «</w:t>
      </w:r>
      <w:r>
        <w:rPr>
          <w:sz w:val="28"/>
          <w:szCs w:val="28"/>
        </w:rPr>
        <w:t>СУЧАСНІ НАПРЯМКИ РОЗВИТКУ ПОЛІТИЧНОЇ НАУКИ</w:t>
      </w:r>
      <w:r w:rsidRPr="000863A6">
        <w:t>»,</w:t>
      </w:r>
      <w:r w:rsidRPr="000863A6">
        <w:br/>
      </w:r>
      <w:r w:rsidRPr="000863A6">
        <w:rPr>
          <w:lang w:eastAsia="ru-RU" w:bidi="ru-RU"/>
        </w:rPr>
        <w:t xml:space="preserve">що </w:t>
      </w:r>
      <w:r w:rsidRPr="000863A6">
        <w:t xml:space="preserve">викладається </w:t>
      </w:r>
      <w:r w:rsidRPr="000863A6">
        <w:rPr>
          <w:lang w:eastAsia="ru-RU" w:bidi="ru-RU"/>
        </w:rPr>
        <w:t xml:space="preserve">в межах ОПН третього </w:t>
      </w:r>
      <w:r w:rsidRPr="000863A6">
        <w:t>(</w:t>
      </w:r>
      <w:proofErr w:type="spellStart"/>
      <w:r w:rsidRPr="000863A6">
        <w:t>освітньо-наукового</w:t>
      </w:r>
      <w:proofErr w:type="spellEnd"/>
      <w:r w:rsidRPr="000863A6">
        <w:t xml:space="preserve">) рівня вищої освіти </w:t>
      </w:r>
      <w:r w:rsidRPr="000863A6">
        <w:rPr>
          <w:lang w:eastAsia="ru-RU" w:bidi="ru-RU"/>
        </w:rPr>
        <w:t>для</w:t>
      </w:r>
      <w:r w:rsidRPr="000863A6">
        <w:rPr>
          <w:lang w:eastAsia="ru-RU" w:bidi="ru-RU"/>
        </w:rPr>
        <w:br/>
      </w:r>
      <w:r w:rsidRPr="000863A6">
        <w:t xml:space="preserve">здобувачів </w:t>
      </w:r>
      <w:r w:rsidRPr="000863A6">
        <w:rPr>
          <w:lang w:eastAsia="ru-RU" w:bidi="ru-RU"/>
        </w:rPr>
        <w:t xml:space="preserve">за </w:t>
      </w:r>
      <w:r w:rsidRPr="000863A6">
        <w:t xml:space="preserve">спеціальністю </w:t>
      </w:r>
      <w:r>
        <w:rPr>
          <w:lang w:eastAsia="ru-RU" w:bidi="ru-RU"/>
        </w:rPr>
        <w:t>052</w:t>
      </w:r>
      <w:r w:rsidRPr="000863A6">
        <w:rPr>
          <w:lang w:eastAsia="ru-RU" w:bidi="ru-RU"/>
        </w:rPr>
        <w:t xml:space="preserve"> </w:t>
      </w:r>
      <w:r>
        <w:t>Політ</w:t>
      </w:r>
      <w:r w:rsidRPr="000863A6">
        <w:t>ологія</w:t>
      </w:r>
    </w:p>
    <w:p w:rsidR="009E530E" w:rsidRPr="008C3663" w:rsidRDefault="009E530E" w:rsidP="009E530E">
      <w:pPr>
        <w:jc w:val="center"/>
        <w:rPr>
          <w:rFonts w:ascii="Times New Roman" w:hAnsi="Times New Roman" w:cs="Times New Roman"/>
        </w:rPr>
      </w:pPr>
      <w:r w:rsidRPr="008C3663">
        <w:rPr>
          <w:rFonts w:ascii="Times New Roman" w:hAnsi="Times New Roman" w:cs="Times New Roman"/>
          <w:b/>
          <w:bCs/>
        </w:rPr>
        <w:t xml:space="preserve">Львів </w:t>
      </w:r>
      <w:r w:rsidRPr="008C3663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722F20" w:rsidRDefault="00ED15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 </w:t>
      </w:r>
    </w:p>
    <w:p w:rsidR="00722F20" w:rsidRDefault="00ED15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Сучасні напрямки розвитку політичної науки</w:t>
      </w:r>
    </w:p>
    <w:p w:rsidR="00722F20" w:rsidRDefault="00722F2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11265"/>
      </w:tblGrid>
      <w:tr w:rsidR="00722F20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Сучасні напрямки розвитку політичної науки</w:t>
            </w:r>
          </w:p>
        </w:tc>
      </w:tr>
      <w:tr w:rsidR="00722F2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722F2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722F2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Соціальні та поведінкові науки; 052 «Політологія»</w:t>
            </w:r>
          </w:p>
        </w:tc>
      </w:tr>
      <w:tr w:rsidR="00722F2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1849D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Шипунов Геннадій Володимирович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олітичних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наук, </w:t>
            </w:r>
            <w:r w:rsidR="00C8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теорії та історії політичної науки</w:t>
            </w:r>
          </w:p>
        </w:tc>
      </w:tr>
      <w:tr w:rsidR="00722F2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849DE" w:rsidRPr="00D717D0" w:rsidRDefault="00D63434" w:rsidP="00184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1849DE" w:rsidRPr="00D717D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gennadij.shipunov@gmail.com</w:t>
              </w:r>
            </w:hyperlink>
          </w:p>
          <w:p w:rsidR="00722F20" w:rsidRDefault="001849DE" w:rsidP="001849D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17D0">
              <w:rPr>
                <w:rFonts w:ascii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722F2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1849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893B8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ятниці, 15.00-1</w:t>
            </w:r>
            <w:r w:rsidRPr="00893B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3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0 год. (філософський факультет, вул. Університетська,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кім.204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20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722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2F20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 розроблено таким чином, щоб надати учасникам навчального процесу необхідні знання для того, щоб сформувати  у майбутніх докторів філософії в галузі політології системні знання про сучасні тенденці</w:t>
            </w:r>
            <w:r w:rsidR="00052414">
              <w:rPr>
                <w:rFonts w:ascii="Times New Roman" w:eastAsia="Times New Roman" w:hAnsi="Times New Roman" w:cs="Times New Roman"/>
                <w:color w:val="000000"/>
              </w:rPr>
              <w:t>ї розвитку політичної теорії в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країні та світі, вектори політичних досліджень в країнах світу, теоретичні знання та практичні уміння, які дозволять їм адекватно і ефективно використовувати одержані навики в науковій та викладацькій діяльності. Дисципліна викладається в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семестрі в обсязі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кредитів (за Європейською Кредитно-Трансферною Системою ECTS).</w:t>
            </w:r>
          </w:p>
          <w:p w:rsidR="00722F20" w:rsidRDefault="00722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F2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8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Навчальна дисципліна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„Сучасні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напрямки розвитку політичної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науки”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покликана забезпечити знання з напрямків політологічних досліджень на початку ХХІ століття. Особлива увага при вивченні 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“Сучасні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напрямки розвитку політичної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науки”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приділяється формуванню аналітичних навичок, вміння доцільно використовувати сучасний інструментарій політичної науки для вирішення теоретичних та прикладних проблем. Поряд із цим значна уваги приділяється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міждисциплінарності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досліджень у сучасних соціальних та поведінкових науках.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2F20" w:rsidRDefault="00722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F20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Мета навчальної дисципліни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„Сучасні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напрямки розвитку політичної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науки”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формування  у майбутніх докторів філософії в галузі політології системи знань та  практичних умінь щодо специфіки розвитку сучасної політичної науки, напрямів та способів політичних досліджень в ХХІ столітті, актуальних методологічних підходів, які дозволять їм адекватно і ефективно використовувати одержані навики в науковій та викладацькій діяльності.</w:t>
            </w:r>
          </w:p>
        </w:tc>
      </w:tr>
      <w:tr w:rsidR="00722F2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Гелд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 Глобальні трансформації: Політика, економіка і культура. Київ: Фенікс, 2003. – 584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Кирилюк Ф.М. Новітня політологія : навчальний посібник. Київ: Центр учбової літератури, 2009. – 564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Методологія політичної науки: матеріали Всеукраїнської наукової конференції. Перші методологічні читання.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Денисенко В.М.,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Л.Я. Львів: ЛНУ 2010. - 130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Оганисьян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Модернизация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XXI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Москва: РОССПЭН, 2011. - 336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Політична думка XX - початку XXI століть: методологічний і доктринальний підходи. Підручник у 2-х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томах.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ред. Н. Хоми. - Львів: "Новий світ - 2000", 2016. - 516 с.; 2017 - 535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Цюрупа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Ясинська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Основи сучасної політології: Підручник для студентів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ВУЗів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Київ: Кондор, 2009. - 354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Roskin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Medeiros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Pearson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Prentice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2007. - 427 p.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S. F.,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Caterino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2006. - 304 p.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Луцишин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Конфліктологія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теорія переговорів: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Львів: Вид-во Львів. політехніки, 2015. — 200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Основи демократії: підручник для студентів вищих навчальних закладів.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ред. А.Ф. Колодій. Третє видання, оновлене і доповнене. Львів: Астролябія, 2009. — 832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Основи теорії міжнародних відносин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посібн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Львів : Академія сухопутних військ, 2010. – 240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Політична система і громадянське суспільство: європейські і українські реалії.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ред. А. І.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Кудряченко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Київ: НІСД, 2007. – 396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Радченко О. Ціннісна система суспільства як механізм демократичного державотворення.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"Магістр", 2009. - 380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і місце засобів масової інформації у виборчому процесі: Зб.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наук.-практ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Київ, 2000.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Романюк А.С. Історія західних політичних вчень: Політичні доктрини ХХ – початку ХХІ ст.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Київ: Знання, 2011. – 255 с. 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Стойко О. Трансформація політичних інститутів у сучасних перехідних суспільствах. Київ: Логос, 2016. - 416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Ценностные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ориентиры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приоритеты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трансформирующемся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редакцией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З.П.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Яхимович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Москва: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Институт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социологии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РАН, 2010. – 215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Шаповаленко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Политическое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современных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переходных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обществ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подходы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тенденции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Харьков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ХНУВД, 2007. – 340 с.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Bleich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freedom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racist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struggle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preserve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freedom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combat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racism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2011. - 224 p.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Інтернет-джерела</w:t>
            </w:r>
            <w:proofErr w:type="spellEnd"/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Міжнародна асоціація політичних наук https://docs.google.com/document/d/1oqxe3zvegUqz5PoJjC9rqK-EKbRCjader4rgjf-Rbrg/edit#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Європейський консорціум з політичних досліджень https://ecpr.eu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Бібліотека політичної науки Оксфордського університету https://libguides.bodleian.ox.ac.uk/politics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Вісник Львівського університету: серія філософсько-політологічні студії http://fps-visnyk.lnu.lviv.ua/uk/archive</w:t>
            </w:r>
          </w:p>
          <w:p w:rsidR="00722F20" w:rsidRDefault="00ED15A4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Гілея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науковий вісник http://www.gileya.org/index.php?ng=library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2F20" w:rsidRDefault="00722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F2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____90____год</w:t>
            </w:r>
          </w:p>
        </w:tc>
      </w:tr>
      <w:tr w:rsidR="00722F2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__32___год аудиторних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__32___годин лекцій.</w:t>
            </w:r>
          </w:p>
          <w:p w:rsidR="00722F20" w:rsidRDefault="00722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_58___годин самостійної роботи</w:t>
            </w:r>
          </w:p>
        </w:tc>
      </w:tr>
      <w:tr w:rsidR="00722F20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722F20" w:rsidRDefault="00ED15A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напрями розвитку політичної науки;</w:t>
            </w:r>
          </w:p>
          <w:p w:rsidR="00722F20" w:rsidRDefault="00ED15A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розвитку теорії міжнародних відносин на початку ХХІ ст.;</w:t>
            </w:r>
          </w:p>
          <w:p w:rsidR="00722F20" w:rsidRDefault="00ED15A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теоретико-концептуальні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засади та еволюцію теорії конфліктів;</w:t>
            </w:r>
          </w:p>
          <w:p w:rsidR="00722F20" w:rsidRDefault="00ED15A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трансформацію політичних доктрин у ХХ - ХХІ столітті;</w:t>
            </w:r>
          </w:p>
          <w:p w:rsidR="00722F20" w:rsidRDefault="00ED15A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тенденції розвитку теорії демократії та громадянського суспільства;</w:t>
            </w:r>
          </w:p>
          <w:p w:rsidR="00722F20" w:rsidRDefault="00ED15A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концептуалізації політичної суб’єктності людини на зламі ХХ - ХХІ століть;</w:t>
            </w:r>
          </w:p>
          <w:p w:rsidR="00722F20" w:rsidRDefault="00ED15A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специфіку теоретичного обґрунтування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інформаціоналізації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суспільства та політики, моделі впливу сучасних інформаційних технологій на політичну свідомість людини та політичний процес;</w:t>
            </w:r>
          </w:p>
          <w:p w:rsidR="00722F20" w:rsidRDefault="00ED15A4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концептуальні засади теорій модернізації та трансформації суспільств.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722F20" w:rsidRDefault="00ED15A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теоретичні знання у власній науково-дослідній та практичній діяльності;</w:t>
            </w:r>
          </w:p>
          <w:p w:rsidR="00722F20" w:rsidRDefault="00ED15A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оперувати базовою термінологією та категоріальним апаратом політичної науки;</w:t>
            </w:r>
          </w:p>
          <w:p w:rsidR="00722F20" w:rsidRDefault="00ED15A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орієнтуватися у системі трансформації політичних процесів;</w:t>
            </w:r>
          </w:p>
          <w:p w:rsidR="00722F20" w:rsidRDefault="00ED15A4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давати політичну оцінку конкретним прикладам/виявам політичного процесу.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F20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політична наука, методологія політичної науки, політичні доктрини, політична влада, людина політична, демократія, демократизація  </w:t>
            </w:r>
          </w:p>
        </w:tc>
      </w:tr>
      <w:tr w:rsidR="00722F20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722F20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722F2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722F20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Пререквізити</w:t>
            </w:r>
            <w:proofErr w:type="spellEnd"/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потребують базових знань  із  дисципліни «Дизайн дослідження та методи політології», «Філософія політики», «Історія політичних вчень», «Історія політичної думки України», «Історія та теорія демократії»</w:t>
            </w:r>
          </w:p>
        </w:tc>
      </w:tr>
      <w:tr w:rsidR="00722F2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722F20" w:rsidRDefault="00722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F20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722F2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балів - виконання домашнього завдання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балів - індивідуальне завдання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балів - контрольний замір знань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за екзамен</w:t>
            </w:r>
          </w:p>
          <w:p w:rsidR="00722F20" w:rsidRDefault="00722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2F20" w:rsidRDefault="00ED15A4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максимальна кількість балів – 100 балів.</w:t>
            </w:r>
          </w:p>
          <w:p w:rsidR="00722F20" w:rsidRDefault="00722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F2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Соціальний конструктивізм як методологія політичної науки.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поструктуралістської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парадигми для аналізу політичних процесів та явищ.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Секційні концепції влади (Р. Даль)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Несекційні концепції влади (М. Фуко)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Плюралістичний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елітистистський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підходи до розуміння влади у сучасному демократичному суспільстві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Системні концепції влади (Н.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Бурдьє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Семіотичний аналіз політики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Напрямки трансформації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неоінституційної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теорії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Нелінійна теорія переходу до демократії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Основні напрямки розвитку теорії ігор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Дискурс свободи: виклики в глобалізованому світі.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Теорії політичної участі на зламі ХХ - ХХІ століть (С.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Розенстоун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Людина політична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“стані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постмодерну”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Кастельс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У. Бек).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мультикультуралізму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теоретичне окреслення та практична реалізація.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Інформаціоналіація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суспільства як підстава кризи національної держави. Теорія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нетократії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Теорія електронної та віртуальної держави.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Масова комунікація: сучасні підходи до розуміння.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Концепція комунікативного конфлікту інтерпретації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Габермаса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Сучасні розуміння політичної маніпуляції.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Моделі ефективного інформаційного впливу на політичну свідомість людини.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Концептуалізація інформаційної війни в ХХІ столітті.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Теорія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постмодернізації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Інглхарта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Критика теорії модернізації (І.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Валлерстайн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Вебстер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Теорія хвиль демократизації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Гантінгтона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Третя хвиля демократизації.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Комунікативний підхід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міфотворення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політиці (Р.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Теорія постматеріальних цінностей: політичні імплікації.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орієнтаційного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підходу до політичної культури (Д.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Елазар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Дівайн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Розвиток нових лівих наприкінці ХХ - на початку ХХІ століття.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Нові праві. Проблеми неофашизму та неонацизму.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розвитку політичних доктрин лібералізму та консерватизму на межі ХХ - ХХІ століть.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Політичні доктрини фемінізму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екологізму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Концепція космополітичної демократії.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партисипаторної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плюралістичної теорій демократії наприкінці ХХ століття.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Деліберативна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теорія демократії.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Транснаціоналістичний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підхід в розумінні міжнародних відносин.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Неореалізм та неолібералізм: продовження великої дискусії.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Особливості процесів інтеграції в сучасному світі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Ідея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десуверенізації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міжнародних відносин.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Концепція пост-глобалізації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Уотерса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Дихотомія глобалізації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регіоналізації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теорії міжнародних відносин.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Теорія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глокалізації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(Р. Робертсон)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Моделі глобального простору.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Теорія асиметричного конфлікту.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Концепція повсюдного конфлікту. Тероризм як повсюдний конфлікт.</w:t>
            </w:r>
          </w:p>
          <w:p w:rsidR="00722F20" w:rsidRDefault="00ED15A4">
            <w:pPr>
              <w:pStyle w:val="normal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Концептуалізація глобального громадянського суспільства (Дж. Кін,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Йонг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).</w:t>
            </w:r>
          </w:p>
          <w:p w:rsidR="00722F20" w:rsidRDefault="00722F2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F20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722F20" w:rsidRDefault="00ED15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722F20" w:rsidRDefault="00ED15A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722F20" w:rsidRDefault="00ED15A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722F20" w:rsidRDefault="00722F2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Style w:val="a6"/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722F20"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/ дата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год.-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722F20">
        <w:trPr>
          <w:trHeight w:val="308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Предмет, об'єкт, мета і завдання курсу "Сучасні напрямки розвитку політичної науки". 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предмет сучасних напрямків розвитку політичної науки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об’єкт сучасних напрямків розвитку політичної науки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мета сучасних напрямків розвитку політичної науки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61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завдання сучасних напрямків розвитку політичної науки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722F20">
        <w:trPr>
          <w:trHeight w:val="98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2.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Міждисциплінарність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як риса сучасної науки. Міждисциплінарні дослідження в політології.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поняття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міждисціиплінарних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наукових досліджень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практика використання міждисциплінарного підходу в сучасній політичній науці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286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3. Сучасні методологічні підходи в політичній науці. Методи політичних досліджень.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Трансформація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неоінституційної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теорії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Моделювання та теорія ігор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61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Соціальний конструктивізм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61" w:firstLine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Структуралізм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постструктуралізм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61" w:firstLine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Семіотичний аналіз в політичній науці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1-13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40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4. Політична суб'єктність людини в сучасному глобалізованому світі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Складність конструкції політичного актора.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Дискурс свободи: сучасні проблеми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Розуміння людини політичної на зламі ХХ - ХХІ століть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40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Тема 5. Криза конструкції національної держави.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Віртуалізація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діджіталізація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держави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Політика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мультикультуралізму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: теоретичне окреслення та політична практика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Інформаціоналізація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суспільства як одна з причин кризи інституту національної держави. Теорія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нетократії</w:t>
            </w:r>
            <w:proofErr w:type="spellEnd"/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- Нові напрямки розвитку держави в ХХІ столітті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352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6. Трансформація феномену влади в глобалізованому світі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Секційні та несекційні концепції влади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Системні концепції влади та їх інтерпретація</w:t>
            </w:r>
          </w:p>
          <w:p w:rsidR="00722F20" w:rsidRDefault="00ED15A4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Плюралістичний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елітистистський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підходи до розуміння влади 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40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7.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Теорії політичної комунікації та інформаційна влада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Сучасні теорії масової комунікації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Інтерпретаційний підхід до комунікації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Теорія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нетократії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як еліти інформаційного суспільства.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34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>Сучасні інформаційні технології і політичне життя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Моделі конструктивних та деструктивних інформаційних впливів на політику.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Поняття та небезпеки інформаційної війни в ХХІ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столітті.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Моделі ефективного інформаційного впливу на політичну свідомість людини.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12-15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34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 xml:space="preserve">Трансформація теорії політичних інститутів: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“Інститут”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“інституція”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дискусія щодо визначення понять.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Неформальні інститути як основний об’єкт дослідження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неоінституціоналізмі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1-10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16-19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34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10.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10.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>Концептуальні засади теорій модернізації та трансформації суспільств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Демократизація як основний вектор трансформації суспільств у ХХІ столітті.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Теорія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постмодернізації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Критика теорії модернізації.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1-10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16-19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34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11.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>Політичні доктрини на зламі ХХ - ХХІ століть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Зближення лібералізму та консерватизму.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Розвиток лівої ідеї. Нові ліві..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Особливості розвитку нових правих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Політичні доктрини фемінізму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екологізму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першоджерел</w:t>
            </w: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34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12.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Тема 12.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 xml:space="preserve">Концептуалізація ціннісно-культурних основ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політики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теорія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“тихої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революції”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Інглхарта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Вестернізація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як процес насадження цінностей західного суспільства.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Політичний міф: теоретичне окреслення та практика.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1-4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212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13.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>Нове осмислення феномену демократії на зламі ХХ - ХХІ століть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партисипаторної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теорії демократії (Д.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Хелд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К.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Макферсон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Плюралістична модель демократії (Р. Даль,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Патнам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Деліберативна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теорія демократії (А.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Арато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Ю.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Габермас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концепція космополітичної демократії.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34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14.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14.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 xml:space="preserve">Теоретичні означення специфіки міжнародних відносин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постбіполярному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світі.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Основні положення неореалізму та неолібералізму в теорії міжнародних відносин.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Транснаціоналізм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теорії інтеграції та взаємозалежності.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Становище держави як основного актора на міжнародній арені.</w:t>
            </w:r>
          </w:p>
        </w:tc>
        <w:tc>
          <w:tcPr>
            <w:tcW w:w="1816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34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15.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15.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 xml:space="preserve">Сучасні теорії глобалізації. </w:t>
            </w:r>
          </w:p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Дихотомія глобалізації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регіоналізації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сучасній політичній науці.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Концепція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глокалізації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Робертсона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Моделі глобального простору У. Бека та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Терборна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Теорія пост-глобалізації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1-12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22F20">
        <w:trPr>
          <w:trHeight w:val="340"/>
        </w:trPr>
        <w:tc>
          <w:tcPr>
            <w:tcW w:w="1407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16.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22F20" w:rsidRDefault="00ED15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Тема 16.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ab/>
              <w:t>Еволюція теорії конфліктів: теоретичне та прикладне значення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Теорія асиметричного конфлікту.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Концептуальне пояснення конфліктів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“нового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покоління”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:rsidR="00722F20" w:rsidRDefault="00ED15A4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Тероризм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“повсюдний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конфлікт”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2102" w:type="dxa"/>
            <w:shd w:val="clear" w:color="auto" w:fill="auto"/>
          </w:tcPr>
          <w:p w:rsidR="00722F20" w:rsidRDefault="00ED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F20" w:rsidRDefault="00722F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722F20" w:rsidRDefault="00722F20" w:rsidP="009F5F6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F5F6E" w:rsidRPr="009F5F6E" w:rsidRDefault="009F5F6E" w:rsidP="009F5F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F6E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9F5F6E">
        <w:rPr>
          <w:rFonts w:ascii="Times New Roman" w:hAnsi="Times New Roman" w:cs="Times New Roman"/>
          <w:sz w:val="24"/>
          <w:szCs w:val="24"/>
        </w:rPr>
        <w:t>. завідувача кафедри</w:t>
      </w:r>
    </w:p>
    <w:p w:rsidR="009F5F6E" w:rsidRPr="009F5F6E" w:rsidRDefault="009F5F6E" w:rsidP="009F5F6E">
      <w:pPr>
        <w:jc w:val="both"/>
        <w:rPr>
          <w:rFonts w:ascii="Times New Roman" w:hAnsi="Times New Roman" w:cs="Times New Roman"/>
          <w:sz w:val="24"/>
          <w:szCs w:val="24"/>
        </w:rPr>
      </w:pPr>
      <w:r w:rsidRPr="009F5F6E">
        <w:rPr>
          <w:rFonts w:ascii="Times New Roman" w:hAnsi="Times New Roman" w:cs="Times New Roman"/>
          <w:sz w:val="24"/>
          <w:szCs w:val="24"/>
        </w:rPr>
        <w:t>теорії та історії політичної науки                                                                                                                                            Г.В. Шипунов</w:t>
      </w:r>
    </w:p>
    <w:p w:rsidR="009F5F6E" w:rsidRPr="009F5F6E" w:rsidRDefault="009F5F6E" w:rsidP="009F5F6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5F6E" w:rsidRPr="009F5F6E" w:rsidSect="00722F20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CC"/>
    <w:multiLevelType w:val="multilevel"/>
    <w:tmpl w:val="611CF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FF644E"/>
    <w:multiLevelType w:val="multilevel"/>
    <w:tmpl w:val="9E4C58C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AD1A98"/>
    <w:multiLevelType w:val="multilevel"/>
    <w:tmpl w:val="D3C4C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FE721C6"/>
    <w:multiLevelType w:val="multilevel"/>
    <w:tmpl w:val="BAA02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0522E7"/>
    <w:multiLevelType w:val="multilevel"/>
    <w:tmpl w:val="4FDAC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2F20"/>
    <w:rsid w:val="000202C3"/>
    <w:rsid w:val="00052414"/>
    <w:rsid w:val="001849DE"/>
    <w:rsid w:val="003F3CA5"/>
    <w:rsid w:val="00722F20"/>
    <w:rsid w:val="009E530E"/>
    <w:rsid w:val="009F5F6E"/>
    <w:rsid w:val="00AD5AD2"/>
    <w:rsid w:val="00BF006D"/>
    <w:rsid w:val="00C838EE"/>
    <w:rsid w:val="00D63434"/>
    <w:rsid w:val="00ED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6D"/>
  </w:style>
  <w:style w:type="paragraph" w:styleId="1">
    <w:name w:val="heading 1"/>
    <w:basedOn w:val="normal"/>
    <w:next w:val="normal"/>
    <w:rsid w:val="00722F2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722F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722F2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22F2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22F2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22F2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2F20"/>
  </w:style>
  <w:style w:type="table" w:customStyle="1" w:styleId="TableNormal">
    <w:name w:val="Table Normal"/>
    <w:rsid w:val="00722F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22F2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rsid w:val="00722F2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22F2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22F20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1849DE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9E530E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9E5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9E530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E530E"/>
    <w:pPr>
      <w:widowControl w:val="0"/>
      <w:shd w:val="clear" w:color="auto" w:fill="FFFFFF"/>
      <w:spacing w:after="940" w:line="240" w:lineRule="auto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a9">
    <w:name w:val="Body Text"/>
    <w:basedOn w:val="a"/>
    <w:link w:val="a8"/>
    <w:qFormat/>
    <w:rsid w:val="009E530E"/>
    <w:pPr>
      <w:widowControl w:val="0"/>
      <w:shd w:val="clear" w:color="auto" w:fill="FFFFFF"/>
      <w:spacing w:after="10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Знак1"/>
    <w:basedOn w:val="a0"/>
    <w:link w:val="a9"/>
    <w:uiPriority w:val="99"/>
    <w:semiHidden/>
    <w:rsid w:val="009E530E"/>
  </w:style>
  <w:style w:type="paragraph" w:customStyle="1" w:styleId="Heading10">
    <w:name w:val="Heading #1"/>
    <w:basedOn w:val="a"/>
    <w:link w:val="Heading1"/>
    <w:rsid w:val="009E530E"/>
    <w:pPr>
      <w:widowControl w:val="0"/>
      <w:shd w:val="clear" w:color="auto" w:fill="FFFFFF"/>
      <w:spacing w:after="25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E5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nnadij.shipu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63B7-93D6-4742-9A2F-84C70D73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10678</Words>
  <Characters>6088</Characters>
  <Application>Microsoft Office Word</Application>
  <DocSecurity>0</DocSecurity>
  <Lines>50</Lines>
  <Paragraphs>33</Paragraphs>
  <ScaleCrop>false</ScaleCrop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</cp:lastModifiedBy>
  <cp:revision>2</cp:revision>
  <dcterms:created xsi:type="dcterms:W3CDTF">2019-10-27T12:27:00Z</dcterms:created>
  <dcterms:modified xsi:type="dcterms:W3CDTF">2020-03-26T16:37:00Z</dcterms:modified>
</cp:coreProperties>
</file>