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3D" w:rsidRPr="00AC24F2" w:rsidRDefault="009E583D" w:rsidP="009E583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F2">
        <w:rPr>
          <w:rFonts w:ascii="Times New Roman" w:hAnsi="Times New Roman" w:cs="Times New Roman"/>
          <w:sz w:val="28"/>
          <w:szCs w:val="28"/>
          <w:shd w:val="clear" w:color="auto" w:fill="FFFFFF"/>
        </w:rPr>
        <w:t>Анотація до монографії «Ілюзія свободи».</w:t>
      </w:r>
    </w:p>
    <w:p w:rsidR="009E583D" w:rsidRPr="00AC24F2" w:rsidRDefault="009E583D" w:rsidP="009E583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83D" w:rsidRPr="00AC24F2" w:rsidRDefault="009E583D" w:rsidP="009E583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монографії розкривається новий погляд на </w:t>
      </w:r>
      <w:proofErr w:type="spellStart"/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архетипні</w:t>
      </w:r>
      <w:proofErr w:type="spellEnd"/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постаті жінки, які яскраво і </w:t>
      </w:r>
      <w:proofErr w:type="spellStart"/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неординарно</w:t>
      </w:r>
      <w:proofErr w:type="spellEnd"/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постають в українській літературі та живописі ХІХ – пер. пол. ХХ ст. Проводиться порівняння трансформації образу в українській та європейській культурах.  Простежується перехід від мислення традиціоналізму до </w:t>
      </w:r>
      <w:proofErr w:type="spellStart"/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модерністичного</w:t>
      </w:r>
      <w:proofErr w:type="spellEnd"/>
      <w:r w:rsidRPr="00AC24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дискурсу, коли в контексті духовно-культурної трансформації формується протиставлення етичного та еротичного, божественного та земного, моралі та чесності. </w:t>
      </w:r>
    </w:p>
    <w:p w:rsidR="00EE14D2" w:rsidRDefault="00EE14D2"/>
    <w:sectPr w:rsidR="00EE14D2" w:rsidSect="00BA3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83D"/>
    <w:rsid w:val="009E583D"/>
    <w:rsid w:val="00EE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2017-06-23T20:09:00Z</dcterms:created>
  <dcterms:modified xsi:type="dcterms:W3CDTF">2017-06-23T20:09:00Z</dcterms:modified>
</cp:coreProperties>
</file>